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6.jpeg" ContentType="image/jpeg"/>
  <Override PartName="/word/media/image93.jpeg" ContentType="image/jpeg"/>
  <Override PartName="/word/media/image66.jpeg" ContentType="image/jpeg"/>
  <Override PartName="/word/media/image94.jpeg" ContentType="image/jpeg"/>
  <Override PartName="/word/media/image75.jpeg" ContentType="image/jpeg"/>
  <Override PartName="/word/media/image124.jpeg" ContentType="image/jpeg"/>
  <Override PartName="/word/media/image123.jpeg" ContentType="image/jpeg"/>
  <Override PartName="/word/media/image67.jpeg" ContentType="image/jpeg"/>
  <Override PartName="/word/media/image95.jpeg" ContentType="image/jpeg"/>
  <Override PartName="/word/media/image122.jpeg" ContentType="image/jpeg"/>
  <Override PartName="/word/media/image121.jpeg" ContentType="image/jpeg"/>
  <Override PartName="/word/media/image115.jpeg" ContentType="image/jpeg"/>
  <Override PartName="/word/media/image112.jpeg" ContentType="image/jpeg"/>
  <Override PartName="/word/media/image92.jpeg" ContentType="image/jpeg"/>
  <Override PartName="/word/media/image6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111.jpeg" ContentType="image/jpeg"/>
  <Override PartName="/word/media/image91.jpeg" ContentType="image/jpeg"/>
  <Override PartName="/word/media/image64.jpeg" ContentType="image/jpeg"/>
  <Override PartName="/word/media/image68.jpeg" ContentType="image/jpeg"/>
  <Override PartName="/word/media/image110.jpeg" ContentType="image/jpeg"/>
  <Override PartName="/word/media/image90.jpeg" ContentType="image/jpeg"/>
  <Override PartName="/word/media/image63.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145ddef14a.htm"/>
        <w:bookmarkStart w:id="1" w:name="ksd36145ddef14a"/>
        <w:bookmarkEnd w:id="0"/>
        <w:bookmarkEnd w:id="1"/>
        <w:r>
          <w:rPr>
            <w:rStyle w:val="InternetLink"/>
            <w:b/>
            <w:sz w:val="20"/>
          </w:rPr>
          <w:t>Table of Contents</w:t>
        </w:r>
      </w:hyperlink>
    </w:p>
    <w:p>
      <w:pPr>
        <w:pStyle w:val="TextBody"/>
        <w:bidi w:val="0"/>
        <w:spacing w:before="0" w:after="0"/>
        <w:jc w:val="center"/>
        <w:rPr>
          <w:rFonts w:ascii="Arial" w:hAnsi="Arial"/>
          <w:b/>
          <w:color w:val="191919"/>
          <w:sz w:val="18"/>
        </w:rPr>
      </w:pPr>
      <w:r>
        <w:rPr>
          <w:rFonts w:ascii="Arial" w:hAnsi="Arial"/>
          <w:b/>
          <w:color w:val="191919"/>
          <w:sz w:val="18"/>
        </w:rPr>
        <w:t xml:space="preserve">UNITED STATES </w:t>
      </w:r>
    </w:p>
    <w:p>
      <w:pPr>
        <w:pStyle w:val="TextBody"/>
        <w:bidi w:val="0"/>
        <w:spacing w:before="240" w:after="0"/>
        <w:jc w:val="center"/>
        <w:rPr>
          <w:rFonts w:ascii="Arial" w:hAnsi="Arial"/>
          <w:b/>
          <w:color w:val="191919"/>
          <w:sz w:val="18"/>
        </w:rPr>
      </w:pPr>
      <w:r>
        <w:rPr>
          <w:rFonts w:ascii="Arial" w:hAnsi="Arial"/>
          <w:b/>
          <w:color w:val="191919"/>
          <w:sz w:val="18"/>
        </w:rPr>
        <w:t xml:space="preserve">SECURITIES AND EXCHANGE COMMISSION </w:t>
      </w:r>
    </w:p>
    <w:p>
      <w:pPr>
        <w:pStyle w:val="TextBody"/>
        <w:bidi w:val="0"/>
        <w:spacing w:before="240" w:after="0"/>
        <w:jc w:val="center"/>
        <w:rPr>
          <w:rFonts w:ascii="Arial" w:hAnsi="Arial"/>
          <w:color w:val="191919"/>
          <w:sz w:val="18"/>
        </w:rPr>
      </w:pPr>
      <w:r>
        <w:rPr>
          <w:rFonts w:ascii="Arial" w:hAnsi="Arial"/>
          <w:color w:val="191919"/>
          <w:sz w:val="18"/>
        </w:rPr>
        <w:t xml:space="preserve">Washington, D.C. 20549 </w:t>
      </w:r>
    </w:p>
    <w:p>
      <w:pPr>
        <w:pStyle w:val="TextBody"/>
        <w:bidi w:val="0"/>
        <w:spacing w:before="240" w:after="0"/>
        <w:jc w:val="center"/>
        <w:rPr>
          <w:rFonts w:ascii="Arial" w:hAnsi="Arial"/>
          <w:b/>
          <w:sz w:val="18"/>
        </w:rPr>
      </w:pPr>
      <w:r>
        <w:rPr>
          <w:rFonts w:ascii="Arial" w:hAnsi="Arial"/>
          <w:b/>
          <w:sz w:val="18"/>
        </w:rPr>
        <w:t>SCHEDULE 14A</w:t>
      </w:r>
    </w:p>
    <w:p>
      <w:pPr>
        <w:pStyle w:val="TextBody"/>
        <w:bidi w:val="0"/>
        <w:spacing w:before="240" w:after="0"/>
        <w:jc w:val="center"/>
        <w:rPr>
          <w:rFonts w:ascii="Arial" w:hAnsi="Arial"/>
          <w:b/>
          <w:color w:val="191919"/>
          <w:sz w:val="18"/>
        </w:rPr>
      </w:pPr>
      <w:r>
        <w:rPr>
          <w:rFonts w:ascii="Arial" w:hAnsi="Arial"/>
          <w:b/>
          <w:color w:val="191919"/>
          <w:sz w:val="18"/>
        </w:rPr>
        <w:t xml:space="preserve">Proxy Statement Pursuant to Section 14(a) of the Securities </w:t>
      </w:r>
    </w:p>
    <w:p>
      <w:pPr>
        <w:pStyle w:val="TextBody"/>
        <w:bidi w:val="0"/>
        <w:spacing w:before="0" w:after="0"/>
        <w:jc w:val="center"/>
        <w:rPr>
          <w:rFonts w:ascii="Arial" w:hAnsi="Arial"/>
          <w:b/>
          <w:color w:val="191919"/>
          <w:sz w:val="18"/>
        </w:rPr>
      </w:pPr>
      <w:r>
        <w:rPr>
          <w:rFonts w:ascii="Arial" w:hAnsi="Arial"/>
          <w:b/>
          <w:color w:val="191919"/>
          <w:sz w:val="18"/>
        </w:rPr>
        <w:t xml:space="preserve">Exchange Act of 1934 </w:t>
      </w:r>
    </w:p>
    <w:p>
      <w:pPr>
        <w:pStyle w:val="TextBody"/>
        <w:bidi w:val="0"/>
        <w:spacing w:before="0" w:after="0"/>
        <w:jc w:val="left"/>
        <w:rPr/>
      </w:pPr>
      <w:r>
        <w:rPr/>
        <w:t> </w:t>
      </w:r>
    </w:p>
    <w:tbl>
      <w:tblPr>
        <w:tblW w:w="6799" w:type="dxa"/>
        <w:jc w:val="left"/>
        <w:tblInd w:w="0" w:type="dxa"/>
        <w:tblLayout w:type="fixed"/>
        <w:tblCellMar>
          <w:top w:w="0" w:type="dxa"/>
          <w:left w:w="0" w:type="dxa"/>
          <w:bottom w:w="0" w:type="dxa"/>
          <w:right w:w="0" w:type="dxa"/>
        </w:tblCellMar>
      </w:tblPr>
      <w:tblGrid>
        <w:gridCol w:w="545"/>
        <w:gridCol w:w="60"/>
        <w:gridCol w:w="1850"/>
        <w:gridCol w:w="60"/>
        <w:gridCol w:w="529"/>
        <w:gridCol w:w="60"/>
        <w:gridCol w:w="369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drawing>
                <wp:inline distT="0" distB="0" distL="0" distR="0">
                  <wp:extent cx="209550" cy="2089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 cy="2089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Filed by the Registrant</w:t>
            </w:r>
          </w:p>
        </w:tc>
        <w:tc>
          <w:tcPr>
            <w:tcW w:w="60"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drawing>
                <wp:inline distT="0" distB="0" distL="0" distR="0">
                  <wp:extent cx="208915" cy="2070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Filed by a party other than the Registrant  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545"/>
        <w:gridCol w:w="60"/>
        <w:gridCol w:w="698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0"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op w:val="single" w:sz="6" w:space="0" w:color="191919"/>
              <w:left w:val="single" w:sz="6" w:space="0" w:color="191919"/>
              <w:right w:val="single" w:sz="6" w:space="0" w:color="191919"/>
            </w:tcBorders>
            <w:tcMar>
              <w:top w:w="28" w:type="dxa"/>
              <w:left w:w="160" w:type="dxa"/>
              <w:right w:w="28" w:type="dxa"/>
            </w:tcMar>
            <w:vAlign w:val="center"/>
          </w:tcPr>
          <w:p>
            <w:pPr>
              <w:pStyle w:val="TableContents"/>
              <w:bidi w:val="0"/>
              <w:spacing w:before="0" w:after="283"/>
              <w:jc w:val="left"/>
              <w:rPr/>
            </w:pPr>
            <w:r>
              <w:rPr/>
              <w:t> </w:t>
            </w:r>
          </w:p>
        </w:tc>
      </w:tr>
      <w:tr>
        <w:trPr/>
        <w:tc>
          <w:tcPr>
            <w:tcW w:w="7585" w:type="dxa"/>
            <w:gridSpan w:val="3"/>
            <w:tcBorders>
              <w:left w:val="single" w:sz="6" w:space="0" w:color="191919"/>
              <w:bottom w:val="single" w:sz="6" w:space="0" w:color="191919"/>
              <w:right w:val="single" w:sz="6" w:space="0" w:color="191919"/>
            </w:tcBorders>
            <w:tcMar>
              <w:left w:w="160" w:type="dxa"/>
              <w:bottom w:w="60" w:type="dxa"/>
              <w:right w:w="40" w:type="dxa"/>
            </w:tcMar>
            <w:vAlign w:val="center"/>
          </w:tcPr>
          <w:p>
            <w:pPr>
              <w:pStyle w:val="TableContents"/>
              <w:bidi w:val="0"/>
              <w:spacing w:before="0" w:after="0"/>
              <w:jc w:val="left"/>
              <w:rPr>
                <w:rFonts w:ascii="Arial" w:hAnsi="Arial"/>
                <w:b/>
                <w:color w:val="191919"/>
                <w:sz w:val="18"/>
              </w:rPr>
            </w:pPr>
            <w:r>
              <w:rPr>
                <w:rFonts w:ascii="Arial" w:hAnsi="Arial"/>
                <w:b/>
                <w:color w:val="191919"/>
                <w:sz w:val="18"/>
              </w:rPr>
              <w:t>Check the appropriate box:</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704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8915" cy="2070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Preliminary Proxy Statement</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704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8915" cy="2070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 xml:space="preserve">CONFIDENTIAL, FOR USE OF THE COMMISSION ONLY (AS PERMITTED BY RULE </w:t>
            </w:r>
          </w:p>
          <w:p>
            <w:pPr>
              <w:pStyle w:val="TableContents"/>
              <w:bidi w:val="0"/>
              <w:spacing w:before="0" w:after="20"/>
              <w:jc w:val="left"/>
              <w:rPr>
                <w:rFonts w:ascii="Arial" w:hAnsi="Arial"/>
                <w:color w:val="191919"/>
                <w:sz w:val="18"/>
              </w:rPr>
            </w:pPr>
            <w:r>
              <w:rPr>
                <w:rFonts w:ascii="Arial" w:hAnsi="Arial"/>
                <w:color w:val="191919"/>
                <w:sz w:val="18"/>
              </w:rPr>
              <w:t>14A-6(e)(2))</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704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9550" cy="20891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9550" cy="208915"/>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Definitive Proxy Statement</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704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8915" cy="2070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Definitive Additional Materials</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704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8915" cy="20701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98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 xml:space="preserve">Soliciting Material under </w:t>
            </w:r>
          </w:p>
          <w:p>
            <w:pPr>
              <w:pStyle w:val="TableContents"/>
              <w:bidi w:val="0"/>
              <w:spacing w:before="0" w:after="20"/>
              <w:jc w:val="left"/>
              <w:rPr>
                <w:rFonts w:ascii="Arial" w:hAnsi="Arial"/>
                <w:color w:val="191919"/>
                <w:sz w:val="18"/>
              </w:rPr>
            </w:pPr>
            <w:r>
              <w:rPr>
                <w:rFonts w:ascii="Arial" w:hAnsi="Arial"/>
                <w:color w:val="191919"/>
                <w:sz w:val="18"/>
              </w:rPr>
              <w:t>§240.14a-12</w:t>
            </w:r>
          </w:p>
        </w:tc>
      </w:tr>
    </w:tbl>
    <w:p>
      <w:pPr>
        <w:pStyle w:val="TextBody"/>
        <w:bidi w:val="0"/>
        <w:spacing w:before="240" w:after="0"/>
        <w:jc w:val="center"/>
        <w:rPr>
          <w:rFonts w:ascii="Arial" w:hAnsi="Arial"/>
          <w:b/>
          <w:color w:val="7DB655"/>
          <w:sz w:val="18"/>
        </w:rPr>
      </w:pPr>
      <w:r>
        <w:rPr>
          <w:rFonts w:ascii="Arial" w:hAnsi="Arial"/>
          <w:b/>
          <w:color w:val="7DB655"/>
          <w:sz w:val="18"/>
        </w:rPr>
        <w:t xml:space="preserve">CSW INDUSTRIALS,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28850" cy="678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28850" cy="678180"/>
                    </a:xfrm>
                    <a:prstGeom prst="rect">
                      <a:avLst/>
                    </a:prstGeom>
                  </pic:spPr>
                </pic:pic>
              </a:graphicData>
            </a:graphic>
          </wp:inline>
        </w:drawing>
      </w:r>
      <w:r>
        <w:rPr/>
        <w:t xml:space="preserve"> </w:t>
      </w:r>
    </w:p>
    <w:p>
      <w:pPr>
        <w:pStyle w:val="TextBody"/>
        <w:bidi w:val="0"/>
        <w:spacing w:before="160" w:after="0"/>
        <w:jc w:val="center"/>
        <w:rPr>
          <w:rFonts w:ascii="Arial" w:hAnsi="Arial"/>
          <w:i/>
          <w:color w:val="191919"/>
          <w:sz w:val="18"/>
        </w:rPr>
      </w:pPr>
      <w:r>
        <w:rPr>
          <w:rFonts w:ascii="Arial" w:hAnsi="Arial"/>
          <w:i/>
          <w:color w:val="191919"/>
          <w:sz w:val="18"/>
        </w:rPr>
        <w:t xml:space="preserve">(Name of Registrant as Specified in its Charter) </w:t>
      </w:r>
    </w:p>
    <w:p>
      <w:pPr>
        <w:pStyle w:val="TextBody"/>
        <w:bidi w:val="0"/>
        <w:spacing w:before="240" w:after="0"/>
        <w:jc w:val="center"/>
        <w:rPr>
          <w:rFonts w:ascii="Arial" w:hAnsi="Arial"/>
          <w:i/>
          <w:color w:val="191919"/>
          <w:sz w:val="18"/>
        </w:rPr>
      </w:pPr>
      <w:r>
        <w:rPr>
          <w:rFonts w:ascii="Arial" w:hAnsi="Arial"/>
          <w:i/>
          <w:color w:val="191919"/>
          <w:sz w:val="18"/>
        </w:rPr>
        <w:t xml:space="preserve">(Name of Person(s) Filing Proxy Statement, if other than the Registrant) </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545"/>
        <w:gridCol w:w="60"/>
        <w:gridCol w:w="686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0"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op w:val="single" w:sz="6" w:space="0" w:color="191919"/>
              <w:left w:val="single" w:sz="6" w:space="0" w:color="191919"/>
              <w:right w:val="single" w:sz="6" w:space="0" w:color="191919"/>
            </w:tcBorders>
            <w:shd w:fill="EDEDED" w:val="clear"/>
            <w:tcMar>
              <w:top w:w="28" w:type="dxa"/>
              <w:left w:w="160" w:type="dxa"/>
              <w:right w:w="28" w:type="dxa"/>
            </w:tcMar>
            <w:vAlign w:val="center"/>
          </w:tcPr>
          <w:p>
            <w:pPr>
              <w:pStyle w:val="TableContents"/>
              <w:bidi w:val="0"/>
              <w:spacing w:before="0" w:after="283"/>
              <w:jc w:val="left"/>
              <w:rPr/>
            </w:pPr>
            <w:r>
              <w:rPr/>
              <w:t> </w:t>
            </w:r>
          </w:p>
        </w:tc>
      </w:tr>
      <w:tr>
        <w:trPr/>
        <w:tc>
          <w:tcPr>
            <w:tcW w:w="7465" w:type="dxa"/>
            <w:gridSpan w:val="3"/>
            <w:tcBorders>
              <w:left w:val="single" w:sz="6" w:space="0" w:color="191919"/>
              <w:bottom w:val="single" w:sz="6" w:space="0" w:color="191919"/>
              <w:right w:val="single" w:sz="6" w:space="0" w:color="191919"/>
            </w:tcBorders>
            <w:shd w:fill="EDEDED" w:val="clear"/>
            <w:tcMar>
              <w:left w:w="160" w:type="dxa"/>
              <w:bottom w:w="60" w:type="dxa"/>
              <w:right w:w="40" w:type="dxa"/>
            </w:tcMar>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Payment of Filing Fee (Check the appropriate </w:t>
            </w:r>
          </w:p>
          <w:p>
            <w:pPr>
              <w:pStyle w:val="TableContents"/>
              <w:bidi w:val="0"/>
              <w:spacing w:before="0" w:after="0"/>
              <w:jc w:val="left"/>
              <w:rPr>
                <w:rFonts w:ascii="Arial" w:hAnsi="Arial"/>
                <w:b/>
                <w:color w:val="191919"/>
                <w:sz w:val="18"/>
              </w:rPr>
            </w:pPr>
            <w:r>
              <w:rPr>
                <w:rFonts w:ascii="Arial" w:hAnsi="Arial"/>
                <w:b/>
                <w:color w:val="191919"/>
                <w:sz w:val="18"/>
              </w:rPr>
              <w:t>box</w:t>
            </w:r>
          </w:p>
          <w:p>
            <w:pPr>
              <w:pStyle w:val="TableContents"/>
              <w:bidi w:val="0"/>
              <w:spacing w:before="0" w:after="0"/>
              <w:jc w:val="left"/>
              <w:rPr>
                <w:rFonts w:ascii="Arial" w:hAnsi="Arial"/>
                <w:color w:val="191919"/>
                <w:sz w:val="18"/>
              </w:rPr>
            </w:pPr>
            <w:r>
              <w:rPr>
                <w:rFonts w:ascii="Arial" w:hAnsi="Arial"/>
                <w:color w:val="191919"/>
                <w:sz w:val="18"/>
              </w:rPr>
              <w:t>):</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692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9550" cy="2089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9550" cy="208915"/>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86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No fee required.</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692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8915" cy="20701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86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Fee paid previously with preliminary materials.</w:t>
            </w:r>
          </w:p>
        </w:tc>
      </w:tr>
      <w:tr>
        <w:trPr/>
        <w:tc>
          <w:tcPr>
            <w:tcW w:w="545" w:type="dxa"/>
            <w:tcBorders>
              <w:left w:val="single" w:sz="6" w:space="0" w:color="191919"/>
            </w:tcBorders>
            <w:tcMar>
              <w:left w:w="160" w:type="dxa"/>
            </w:tcMar>
            <w:vAlign w:val="center"/>
          </w:tcPr>
          <w:p>
            <w:pPr>
              <w:pStyle w:val="TableContents"/>
              <w:bidi w:val="0"/>
              <w:spacing w:before="0" w:after="283"/>
              <w:jc w:val="left"/>
              <w:rPr/>
            </w:pPr>
            <w:r>
              <w:rPr/>
              <w:t> </w:t>
            </w:r>
          </w:p>
        </w:tc>
        <w:tc>
          <w:tcPr>
            <w:tcW w:w="6920" w:type="dxa"/>
            <w:gridSpan w:val="2"/>
            <w:tcBorders>
              <w:left w:val="single" w:sz="6" w:space="0" w:color="191919"/>
              <w:right w:val="single" w:sz="6" w:space="0" w:color="191919"/>
            </w:tcBorders>
            <w:tcMar>
              <w:left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191919"/>
              <w:bottom w:val="single" w:sz="6" w:space="0" w:color="191919"/>
            </w:tcBorders>
            <w:tcMar>
              <w:left w:w="160" w:type="dxa"/>
              <w:bottom w:w="60" w:type="dxa"/>
            </w:tcMar>
            <w:vAlign w:val="center"/>
          </w:tcPr>
          <w:p>
            <w:pPr>
              <w:pStyle w:val="TableContents"/>
              <w:bidi w:val="0"/>
              <w:spacing w:before="0" w:after="283"/>
              <w:jc w:val="left"/>
              <w:rPr/>
            </w:pPr>
            <w:r>
              <w:rPr/>
              <w:drawing>
                <wp:inline distT="0" distB="0" distL="0" distR="0">
                  <wp:extent cx="208915" cy="2070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8915" cy="207010"/>
                          </a:xfrm>
                          <a:prstGeom prst="rect">
                            <a:avLst/>
                          </a:prstGeom>
                        </pic:spPr>
                      </pic:pic>
                    </a:graphicData>
                  </a:graphic>
                </wp:inline>
              </w:drawing>
            </w:r>
            <w:r>
              <w:rPr/>
              <w:t xml:space="preserve">  </w:t>
            </w:r>
          </w:p>
        </w:tc>
        <w:tc>
          <w:tcPr>
            <w:tcW w:w="60" w:type="dxa"/>
            <w:tcBorders>
              <w:left w:val="single" w:sz="6" w:space="0" w:color="191919"/>
              <w:bottom w:val="single" w:sz="6" w:space="0" w:color="191919"/>
            </w:tcBorders>
            <w:tcMar>
              <w:left w:w="28" w:type="dxa"/>
              <w:bottom w:w="28" w:type="dxa"/>
            </w:tcMar>
            <w:vAlign w:val="center"/>
          </w:tcPr>
          <w:p>
            <w:pPr>
              <w:pStyle w:val="TableContents"/>
              <w:bidi w:val="0"/>
              <w:spacing w:before="0" w:after="283"/>
              <w:jc w:val="left"/>
              <w:rPr/>
            </w:pPr>
            <w:r>
              <w:rPr/>
              <w:t> </w:t>
            </w:r>
          </w:p>
        </w:tc>
        <w:tc>
          <w:tcPr>
            <w:tcW w:w="6860" w:type="dxa"/>
            <w:tcBorders>
              <w:bottom w:val="single" w:sz="6" w:space="0" w:color="191919"/>
              <w:right w:val="single" w:sz="6" w:space="0" w:color="191919"/>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 xml:space="preserve">Fee computed on table in exhibit required by Item 25(b) per Exchange Act Rules </w:t>
            </w:r>
          </w:p>
          <w:p>
            <w:pPr>
              <w:pStyle w:val="TableContents"/>
              <w:bidi w:val="0"/>
              <w:spacing w:before="0" w:after="20"/>
              <w:jc w:val="left"/>
              <w:rPr>
                <w:rFonts w:ascii="Arial" w:hAnsi="Arial"/>
                <w:b/>
                <w:color w:val="191919"/>
                <w:sz w:val="18"/>
              </w:rPr>
            </w:pPr>
            <w:r>
              <w:rPr>
                <w:rFonts w:ascii="Arial" w:hAnsi="Arial"/>
                <w:b/>
                <w:color w:val="191919"/>
                <w:sz w:val="18"/>
              </w:rPr>
              <w:t>14a-6(i)(1)</w:t>
            </w:r>
          </w:p>
          <w:p>
            <w:pPr>
              <w:pStyle w:val="TableContents"/>
              <w:bidi w:val="0"/>
              <w:spacing w:before="0" w:after="20"/>
              <w:jc w:val="left"/>
              <w:rPr>
                <w:rFonts w:ascii="Arial" w:hAnsi="Arial"/>
                <w:b/>
                <w:color w:val="191919"/>
                <w:sz w:val="18"/>
              </w:rPr>
            </w:pPr>
            <w:r>
              <w:rPr>
                <w:rFonts w:ascii="Arial" w:hAnsi="Arial"/>
                <w:b/>
                <w:color w:val="191919"/>
                <w:sz w:val="18"/>
              </w:rPr>
              <w:t xml:space="preserve">and </w:t>
            </w:r>
          </w:p>
          <w:p>
            <w:pPr>
              <w:pStyle w:val="TableContents"/>
              <w:bidi w:val="0"/>
              <w:spacing w:before="0" w:after="20"/>
              <w:jc w:val="left"/>
              <w:rPr>
                <w:rFonts w:ascii="Arial" w:hAnsi="Arial"/>
                <w:b/>
                <w:color w:val="191919"/>
                <w:sz w:val="18"/>
              </w:rPr>
            </w:pPr>
            <w:r>
              <w:rPr>
                <w:rFonts w:ascii="Arial" w:hAnsi="Arial"/>
                <w:b/>
                <w:color w:val="191919"/>
                <w:sz w:val="18"/>
              </w:rPr>
              <w:t>0-11.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2228850" cy="678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28850" cy="678180"/>
                    </a:xfrm>
                    <a:prstGeom prst="rect">
                      <a:avLst/>
                    </a:prstGeom>
                  </pic:spPr>
                </pic:pic>
              </a:graphicData>
            </a:graphic>
          </wp:inline>
        </w:drawing>
      </w:r>
      <w:r>
        <w:rPr/>
        <w:t xml:space="preserve"> </w:t>
      </w:r>
    </w:p>
    <w:p>
      <w:pPr>
        <w:pStyle w:val="TextBody"/>
        <w:bidi w:val="0"/>
        <w:spacing w:before="240" w:after="0"/>
        <w:jc w:val="left"/>
        <w:rPr>
          <w:rFonts w:ascii="Arial" w:hAnsi="Arial"/>
          <w:b/>
          <w:color w:val="0A7DAC"/>
          <w:sz w:val="40"/>
        </w:rPr>
      </w:pPr>
      <w:r>
        <w:rPr>
          <w:rFonts w:ascii="Arial" w:hAnsi="Arial"/>
          <w:b/>
          <w:color w:val="0A7DAC"/>
          <w:sz w:val="40"/>
        </w:rPr>
        <w:t xml:space="preserve">Notice of 2026 Annual Meeting of Shareholders </w:t>
      </w:r>
    </w:p>
    <w:p>
      <w:pPr>
        <w:pStyle w:val="TextBody"/>
        <w:bidi w:val="0"/>
        <w:spacing w:before="120" w:after="0"/>
        <w:jc w:val="left"/>
        <w:rPr>
          <w:rFonts w:ascii="Arial" w:hAnsi="Arial"/>
          <w:color w:val="7DB655"/>
          <w:sz w:val="24"/>
        </w:rPr>
      </w:pPr>
      <w:r>
        <w:rPr>
          <w:rFonts w:ascii="Arial" w:hAnsi="Arial"/>
          <w:b/>
          <w:color w:val="7DB655"/>
          <w:sz w:val="24"/>
        </w:rPr>
        <w:t>August 27, 2026</w:t>
      </w:r>
      <w:r>
        <w:rPr>
          <w:rFonts w:ascii="Arial" w:hAnsi="Arial"/>
          <w:color w:val="7DB655"/>
          <w:sz w:val="24"/>
        </w:rPr>
        <w:t xml:space="preserve"> </w:t>
      </w:r>
    </w:p>
    <w:p>
      <w:pPr>
        <w:pStyle w:val="TextBody"/>
        <w:bidi w:val="0"/>
        <w:spacing w:before="0" w:after="0"/>
        <w:jc w:val="left"/>
        <w:rPr>
          <w:rFonts w:ascii="Arial" w:hAnsi="Arial"/>
          <w:color w:val="191919"/>
          <w:sz w:val="18"/>
        </w:rPr>
      </w:pPr>
      <w:r>
        <w:rPr>
          <w:rFonts w:ascii="Arial" w:hAnsi="Arial"/>
          <w:b/>
          <w:color w:val="191919"/>
          <w:sz w:val="18"/>
        </w:rPr>
        <w:t>12:30 p.m., Central Time</w:t>
      </w:r>
      <w:r>
        <w:rPr>
          <w:rFonts w:ascii="Arial" w:hAnsi="Arial"/>
          <w:color w:val="191919"/>
          <w:sz w:val="18"/>
        </w:rPr>
        <w:t xml:space="preserve"> </w:t>
      </w:r>
    </w:p>
    <w:p>
      <w:pPr>
        <w:pStyle w:val="TextBody"/>
        <w:bidi w:val="0"/>
        <w:spacing w:before="120" w:after="0"/>
        <w:jc w:val="left"/>
        <w:rPr>
          <w:rFonts w:ascii="Arial" w:hAnsi="Arial"/>
          <w:color w:val="191919"/>
          <w:sz w:val="18"/>
        </w:rPr>
      </w:pPr>
      <w:r>
        <w:rPr>
          <w:rFonts w:ascii="Arial" w:hAnsi="Arial"/>
          <w:b/>
          <w:color w:val="191919"/>
          <w:sz w:val="18"/>
        </w:rPr>
        <w:t>Virtual Meeting</w:t>
      </w:r>
      <w:r>
        <w:rPr>
          <w:rFonts w:ascii="Arial" w:hAnsi="Arial"/>
          <w:color w:val="191919"/>
          <w:sz w:val="18"/>
        </w:rPr>
        <w:t xml:space="preserve"> </w:t>
      </w:r>
    </w:p>
    <w:p>
      <w:pPr>
        <w:pStyle w:val="TextBody"/>
        <w:bidi w:val="0"/>
        <w:spacing w:before="0" w:after="0"/>
        <w:jc w:val="left"/>
        <w:rPr>
          <w:rFonts w:ascii="Arial" w:hAnsi="Arial"/>
          <w:i/>
          <w:color w:val="191919"/>
          <w:sz w:val="18"/>
        </w:rPr>
      </w:pPr>
      <w:r>
        <w:rPr>
          <w:rFonts w:ascii="Arial" w:hAnsi="Arial"/>
          <w:i/>
          <w:color w:val="191919"/>
          <w:sz w:val="18"/>
        </w:rPr>
        <w:t xml:space="preserve">www.virtualshareholdermeeting.com/CSW2026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93"/>
        <w:gridCol w:w="60"/>
        <w:gridCol w:w="4925"/>
        <w:gridCol w:w="137"/>
        <w:gridCol w:w="790"/>
      </w:tblGrid>
      <w:tr>
        <w:trPr/>
        <w:tc>
          <w:tcPr>
            <w:tcW w:w="4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sz w:val="4"/>
                <w:szCs w:val="4"/>
              </w:rPr>
            </w:pPr>
            <w:r>
              <w:rPr>
                <w:sz w:val="4"/>
                <w:szCs w:val="4"/>
              </w:rPr>
            </w:r>
          </w:p>
        </w:tc>
        <w:tc>
          <w:tcPr>
            <w:tcW w:w="4985" w:type="dxa"/>
            <w:gridSpan w:val="2"/>
            <w:tcBorders/>
            <w:shd w:fill="EDEDED" w:val="clear"/>
            <w:vAlign w:val="center"/>
          </w:tcPr>
          <w:p>
            <w:pPr>
              <w:pStyle w:val="TableContents"/>
              <w:bidi w:val="0"/>
              <w:spacing w:before="0" w:after="283"/>
              <w:jc w:val="left"/>
              <w:rPr>
                <w:sz w:val="4"/>
                <w:szCs w:val="4"/>
              </w:rPr>
            </w:pPr>
            <w:r>
              <w:rPr>
                <w:sz w:val="4"/>
                <w:szCs w:val="4"/>
              </w:rPr>
            </w:r>
          </w:p>
        </w:tc>
        <w:tc>
          <w:tcPr>
            <w:tcW w:w="92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293" w:type="dxa"/>
            <w:vMerge w:val="restart"/>
            <w:tcBorders/>
            <w:vAlign w:val="center"/>
          </w:tcPr>
          <w:p>
            <w:pPr>
              <w:pStyle w:val="TableContents"/>
              <w:bidi w:val="0"/>
              <w:spacing w:before="0" w:after="0"/>
              <w:jc w:val="left"/>
              <w:rPr>
                <w:rFonts w:ascii="Arial" w:hAnsi="Arial"/>
                <w:color w:val="191919"/>
                <w:sz w:val="18"/>
              </w:rPr>
            </w:pPr>
            <w:r>
              <w:rPr>
                <w:rFonts w:ascii="Arial" w:hAnsi="Arial"/>
                <w:color w:val="191919"/>
                <w:sz w:val="18"/>
              </w:rPr>
              <w:t>This Notice, the accompanying Proxy Statement, our Annual Report on Form 10-K for the year ended March 31, 2026, and the form of proxy card or the Notice of Internet Availability of Proxy Materials, are first being mailed on or about July 16, 2026 to shareholders of record of the common stock of CSW Industrials, Inc. (the “Company”) as of the close of business on July 8, 2026.</w:t>
            </w:r>
          </w:p>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At the Annual Meeting, shareholders will vote on the following matters:</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the election of seven director nominees to serve a one-year term expiring at the 2027 annual meeting of shareholders;</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the approval, on an advisory basis, of the Company’s executive compensation, or the “Say on Pay” vote;</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the ratification of Grant Thornton LLP’s appointment to serve as the Company’s independent registered public accounting firm for fiscal year 2027; and</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the transaction of any other business properly presented at the Annual Meeting.</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The accompanying Proxy Statement contains other important information that you should read and consider before you vote. For additional related information, please refer to the “Important Notice Regarding the Availability of Proxy Materials for the Shareholder Meeting to be held on August 27, 2026” in the accompanying Proxy Statement.</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b/>
                <w:color w:val="191919"/>
                <w:sz w:val="18"/>
              </w:rPr>
              <w:t>Your vote is important</w:t>
            </w:r>
            <w:r>
              <w:rPr>
                <w:rFonts w:ascii="Arial" w:hAnsi="Arial"/>
                <w:color w:val="191919"/>
                <w:sz w:val="18"/>
              </w:rPr>
              <w:t xml:space="preserve">. Even if you plan to attend the Annual Meeting, please vote your shares promptly! </w:t>
            </w:r>
            <w:r>
              <w:rPr>
                <w:rFonts w:ascii="Arial" w:hAnsi="Arial"/>
                <w:b/>
                <w:color w:val="191919"/>
                <w:sz w:val="18"/>
              </w:rPr>
              <w:t>Thank you in advance for voting and for your support of the Company</w:t>
            </w:r>
            <w:r>
              <w:rPr>
                <w:rFonts w:ascii="Arial" w:hAnsi="Arial"/>
                <w:color w:val="191919"/>
                <w:sz w:val="18"/>
              </w:rPr>
              <w: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925" w:type="dxa"/>
            <w:tcBorders/>
            <w:shd w:fill="EDEDED" w:val="clear"/>
            <w:vAlign w:val="center"/>
          </w:tcPr>
          <w:p>
            <w:pPr>
              <w:pStyle w:val="TableContents"/>
              <w:bidi w:val="0"/>
              <w:spacing w:before="0" w:after="0"/>
              <w:jc w:val="left"/>
              <w:rPr>
                <w:rFonts w:ascii="Arial" w:hAnsi="Arial"/>
                <w:b/>
                <w:color w:val="8ABD66"/>
                <w:sz w:val="18"/>
              </w:rPr>
            </w:pPr>
            <w:r>
              <w:rPr>
                <w:rFonts w:ascii="Arial" w:hAnsi="Arial"/>
                <w:b/>
                <w:color w:val="8ABD66"/>
                <w:sz w:val="18"/>
              </w:rPr>
              <w:t>VOTE IN ONE OF FOUR WAYS:</w:t>
            </w:r>
          </w:p>
        </w:tc>
        <w:tc>
          <w:tcPr>
            <w:tcW w:w="137" w:type="dxa"/>
            <w:tcBorders/>
            <w:shd w:fill="EDEDED" w:val="clear"/>
            <w:vAlign w:val="center"/>
          </w:tcPr>
          <w:p>
            <w:pPr>
              <w:pStyle w:val="TableContents"/>
              <w:bidi w:val="0"/>
              <w:spacing w:before="0" w:after="283"/>
              <w:jc w:val="left"/>
              <w:rPr/>
            </w:pPr>
            <w:r>
              <w:rPr/>
              <w:t>  </w:t>
            </w:r>
          </w:p>
        </w:tc>
        <w:tc>
          <w:tcPr>
            <w:tcW w:w="790" w:type="dxa"/>
            <w:tcBorders/>
            <w:shd w:fill="EDEDED" w:val="clear"/>
            <w:vAlign w:val="center"/>
          </w:tcPr>
          <w:p>
            <w:pPr>
              <w:pStyle w:val="TableContents"/>
              <w:bidi w:val="0"/>
              <w:spacing w:before="0" w:after="283"/>
              <w:jc w:val="left"/>
              <w:rPr>
                <w:sz w:val="4"/>
                <w:szCs w:val="4"/>
              </w:rPr>
            </w:pPr>
            <w:r>
              <w:rPr>
                <w:sz w:val="4"/>
                <w:szCs w:val="4"/>
              </w:rPr>
            </w:r>
          </w:p>
        </w:tc>
      </w:tr>
      <w:tr>
        <w:trPr/>
        <w:tc>
          <w:tcPr>
            <w:tcW w:w="4293" w:type="dxa"/>
            <w:vMerge w:val="continue"/>
            <w:tcBorders/>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492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Internet</w:t>
            </w:r>
          </w:p>
          <w:p>
            <w:pPr>
              <w:pStyle w:val="TableContents"/>
              <w:bidi w:val="0"/>
              <w:spacing w:before="0" w:after="20"/>
              <w:jc w:val="left"/>
              <w:rPr>
                <w:rFonts w:ascii="Arial" w:hAnsi="Arial"/>
                <w:color w:val="191919"/>
                <w:sz w:val="18"/>
              </w:rPr>
            </w:pPr>
            <w:r>
              <w:rPr>
                <w:rFonts w:ascii="Arial" w:hAnsi="Arial"/>
                <w:color w:val="191919"/>
                <w:sz w:val="18"/>
              </w:rPr>
              <w:t>Visit the website shown on the Notice of Internet Availability of Proxy Materials or proxy card</w:t>
            </w:r>
          </w:p>
        </w:tc>
        <w:tc>
          <w:tcPr>
            <w:tcW w:w="137" w:type="dxa"/>
            <w:tcBorders/>
            <w:shd w:fill="EDEDED" w:val="clear"/>
            <w:vAlign w:val="center"/>
          </w:tcPr>
          <w:p>
            <w:pPr>
              <w:pStyle w:val="TableContents"/>
              <w:bidi w:val="0"/>
              <w:spacing w:before="0" w:after="283"/>
              <w:jc w:val="left"/>
              <w:rPr/>
            </w:pPr>
            <w:r>
              <w:rPr/>
              <w:t>  </w:t>
            </w:r>
          </w:p>
        </w:tc>
        <w:tc>
          <w:tcPr>
            <w:tcW w:w="79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09575" cy="352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9575" cy="352425"/>
                          </a:xfrm>
                          <a:prstGeom prst="rect">
                            <a:avLst/>
                          </a:prstGeom>
                        </pic:spPr>
                      </pic:pic>
                    </a:graphicData>
                  </a:graphic>
                </wp:inline>
              </w:drawing>
            </w:r>
            <w:r>
              <w:rPr/>
              <w:t xml:space="preserve"> </w:t>
            </w:r>
          </w:p>
        </w:tc>
      </w:tr>
      <w:tr>
        <w:trPr/>
        <w:tc>
          <w:tcPr>
            <w:tcW w:w="4293" w:type="dxa"/>
            <w:vMerge w:val="continue"/>
            <w:tcBorders/>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492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By Telephone</w:t>
            </w:r>
          </w:p>
          <w:p>
            <w:pPr>
              <w:pStyle w:val="TableContents"/>
              <w:bidi w:val="0"/>
              <w:spacing w:before="0" w:after="20"/>
              <w:jc w:val="left"/>
              <w:rPr>
                <w:rFonts w:ascii="Arial" w:hAnsi="Arial"/>
                <w:color w:val="191919"/>
                <w:sz w:val="18"/>
              </w:rPr>
            </w:pPr>
            <w:r>
              <w:rPr>
                <w:rFonts w:ascii="Arial" w:hAnsi="Arial"/>
                <w:color w:val="191919"/>
                <w:sz w:val="18"/>
              </w:rPr>
              <w:t>Call the telephone number shown on your proxy card</w:t>
            </w:r>
          </w:p>
        </w:tc>
        <w:tc>
          <w:tcPr>
            <w:tcW w:w="137" w:type="dxa"/>
            <w:tcBorders/>
            <w:shd w:fill="EDEDED" w:val="clear"/>
            <w:vAlign w:val="center"/>
          </w:tcPr>
          <w:p>
            <w:pPr>
              <w:pStyle w:val="TableContents"/>
              <w:bidi w:val="0"/>
              <w:spacing w:before="0" w:after="283"/>
              <w:jc w:val="left"/>
              <w:rPr/>
            </w:pPr>
            <w:r>
              <w:rPr/>
              <w:t>  </w:t>
            </w:r>
          </w:p>
        </w:tc>
        <w:tc>
          <w:tcPr>
            <w:tcW w:w="79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9100" cy="533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19100" cy="533400"/>
                          </a:xfrm>
                          <a:prstGeom prst="rect">
                            <a:avLst/>
                          </a:prstGeom>
                        </pic:spPr>
                      </pic:pic>
                    </a:graphicData>
                  </a:graphic>
                </wp:inline>
              </w:drawing>
            </w:r>
            <w:r>
              <w:rPr/>
              <w:t xml:space="preserve"> </w:t>
            </w:r>
          </w:p>
        </w:tc>
      </w:tr>
      <w:tr>
        <w:trPr/>
        <w:tc>
          <w:tcPr>
            <w:tcW w:w="4293" w:type="dxa"/>
            <w:vMerge w:val="continue"/>
            <w:tcBorders/>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492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By Mail</w:t>
            </w:r>
          </w:p>
          <w:p>
            <w:pPr>
              <w:pStyle w:val="TableContents"/>
              <w:bidi w:val="0"/>
              <w:spacing w:before="0" w:after="20"/>
              <w:jc w:val="left"/>
              <w:rPr>
                <w:rFonts w:ascii="Arial" w:hAnsi="Arial"/>
                <w:color w:val="191919"/>
                <w:sz w:val="18"/>
              </w:rPr>
            </w:pPr>
            <w:r>
              <w:rPr>
                <w:rFonts w:ascii="Arial" w:hAnsi="Arial"/>
                <w:color w:val="191919"/>
                <w:sz w:val="18"/>
              </w:rPr>
              <w:t>Complete, sign, date and return your proxy card in the envelope provided</w:t>
            </w:r>
          </w:p>
        </w:tc>
        <w:tc>
          <w:tcPr>
            <w:tcW w:w="137" w:type="dxa"/>
            <w:tcBorders/>
            <w:shd w:fill="EDEDED" w:val="clear"/>
            <w:vAlign w:val="center"/>
          </w:tcPr>
          <w:p>
            <w:pPr>
              <w:pStyle w:val="TableContents"/>
              <w:bidi w:val="0"/>
              <w:spacing w:before="0" w:after="283"/>
              <w:jc w:val="left"/>
              <w:rPr/>
            </w:pPr>
            <w:r>
              <w:rPr/>
              <w:t>  </w:t>
            </w:r>
          </w:p>
        </w:tc>
        <w:tc>
          <w:tcPr>
            <w:tcW w:w="79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61950" cy="400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1950" cy="400050"/>
                          </a:xfrm>
                          <a:prstGeom prst="rect">
                            <a:avLst/>
                          </a:prstGeom>
                        </pic:spPr>
                      </pic:pic>
                    </a:graphicData>
                  </a:graphic>
                </wp:inline>
              </w:drawing>
            </w:r>
            <w:r>
              <w:rPr/>
              <w:t xml:space="preserve"> </w:t>
            </w:r>
          </w:p>
        </w:tc>
      </w:tr>
      <w:tr>
        <w:trPr/>
        <w:tc>
          <w:tcPr>
            <w:tcW w:w="4293" w:type="dxa"/>
            <w:vMerge w:val="continue"/>
            <w:tcBorders/>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492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At The Meeting</w:t>
            </w:r>
          </w:p>
          <w:p>
            <w:pPr>
              <w:pStyle w:val="TableContents"/>
              <w:bidi w:val="0"/>
              <w:spacing w:before="0" w:after="20"/>
              <w:jc w:val="left"/>
              <w:rPr>
                <w:rFonts w:ascii="Arial" w:hAnsi="Arial"/>
                <w:color w:val="191919"/>
                <w:sz w:val="18"/>
              </w:rPr>
            </w:pPr>
            <w:r>
              <w:rPr>
                <w:rFonts w:ascii="Arial" w:hAnsi="Arial"/>
                <w:color w:val="191919"/>
                <w:sz w:val="18"/>
              </w:rPr>
              <w:t>Visit www.virtualshareholdermeeting.com/CSW2026 and follow the instructions.</w:t>
            </w:r>
          </w:p>
        </w:tc>
        <w:tc>
          <w:tcPr>
            <w:tcW w:w="137" w:type="dxa"/>
            <w:tcBorders/>
            <w:shd w:fill="EDEDED" w:val="clear"/>
            <w:vAlign w:val="center"/>
          </w:tcPr>
          <w:p>
            <w:pPr>
              <w:pStyle w:val="TableContents"/>
              <w:bidi w:val="0"/>
              <w:spacing w:before="0" w:after="283"/>
              <w:jc w:val="left"/>
              <w:rPr/>
            </w:pPr>
            <w:r>
              <w:rPr/>
              <w:t>  </w:t>
            </w:r>
          </w:p>
        </w:tc>
        <w:tc>
          <w:tcPr>
            <w:tcW w:w="79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81000" cy="390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81000" cy="390525"/>
                          </a:xfrm>
                          <a:prstGeom prst="rect">
                            <a:avLst/>
                          </a:prstGeom>
                        </pic:spPr>
                      </pic:pic>
                    </a:graphicData>
                  </a:graphic>
                </wp:inline>
              </w:drawing>
            </w:r>
            <w:r>
              <w:rPr/>
              <w:t xml:space="preserve"> </w:t>
            </w:r>
          </w:p>
        </w:tc>
      </w:tr>
      <w:tr>
        <w:trPr/>
        <w:tc>
          <w:tcPr>
            <w:tcW w:w="4293" w:type="dxa"/>
            <w:vMerge w:val="continue"/>
            <w:tcBorders/>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5852" w:type="dxa"/>
            <w:gridSpan w:val="3"/>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If your shares are held by a bank, broker or other holder of record, please refer to their instructions to see which voting methods are available to you.</w:t>
            </w:r>
          </w:p>
        </w:tc>
      </w:tr>
      <w:tr>
        <w:trPr/>
        <w:tc>
          <w:tcPr>
            <w:tcW w:w="4293" w:type="dxa"/>
            <w:vMerge w:val="continue"/>
            <w:tcBorders/>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5852" w:type="dxa"/>
            <w:gridSpan w:val="3"/>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b/>
                <w:color w:val="191919"/>
                <w:sz w:val="18"/>
              </w:rPr>
              <w:t>IMPORTANT NOTICE REGARDING THE AVAILABILITY OF PROXY MATERIALS FOR THE SHAREHOLDER MEETING TO BE HELD AUGUST 27, 2026:</w:t>
            </w:r>
            <w:r>
              <w:rPr>
                <w:rFonts w:ascii="Arial" w:hAnsi="Arial"/>
                <w:color w:val="191919"/>
                <w:sz w:val="18"/>
              </w:rPr>
              <w:t xml:space="preserve"> This Proxy Statement and the Annual Report to Shareholders are available at </w:t>
            </w:r>
            <w:r>
              <w:rPr>
                <w:rFonts w:ascii="Arial" w:hAnsi="Arial"/>
                <w:i/>
                <w:color w:val="191919"/>
                <w:sz w:val="18"/>
              </w:rPr>
              <w:t>www.proxyvote.com.</w:t>
            </w:r>
          </w:p>
        </w:tc>
      </w:tr>
    </w:tbl>
    <w:tbl>
      <w:tblPr>
        <w:tblW w:w="7435" w:type="dxa"/>
        <w:jc w:val="left"/>
        <w:tblInd w:w="0" w:type="dxa"/>
        <w:tblLayout w:type="fixed"/>
        <w:tblCellMar>
          <w:top w:w="0" w:type="dxa"/>
          <w:left w:w="0" w:type="dxa"/>
          <w:bottom w:w="0" w:type="dxa"/>
          <w:right w:w="0" w:type="dxa"/>
        </w:tblCellMar>
      </w:tblPr>
      <w:tblGrid>
        <w:gridCol w:w="1021"/>
        <w:gridCol w:w="120"/>
        <w:gridCol w:w="2495"/>
        <w:gridCol w:w="60"/>
        <w:gridCol w:w="1006"/>
        <w:gridCol w:w="120"/>
        <w:gridCol w:w="715"/>
        <w:gridCol w:w="715"/>
        <w:gridCol w:w="1183"/>
      </w:tblGrid>
      <w:tr>
        <w:trPr/>
        <w:tc>
          <w:tcPr>
            <w:tcW w:w="10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vAlign w:val="center"/>
          </w:tcPr>
          <w:p>
            <w:pPr>
              <w:pStyle w:val="TableContents"/>
              <w:bidi w:val="0"/>
              <w:spacing w:before="0" w:after="0"/>
              <w:jc w:val="left"/>
              <w:rPr>
                <w:rFonts w:ascii="Arial" w:hAnsi="Arial"/>
                <w:color w:val="191919"/>
                <w:sz w:val="18"/>
              </w:rPr>
            </w:pPr>
            <w:r>
              <w:rPr>
                <w:rFonts w:ascii="Arial" w:hAnsi="Arial"/>
                <w:color w:val="191919"/>
                <w:sz w:val="18"/>
              </w:rPr>
              <w:t>By Order of the Board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613" w:type="dxa"/>
            <w:gridSpan w:val="3"/>
            <w:tcBorders/>
            <w:vAlign w:val="center"/>
          </w:tcPr>
          <w:p>
            <w:pPr>
              <w:pStyle w:val="TableContents"/>
              <w:bidi w:val="0"/>
              <w:spacing w:before="0" w:after="0"/>
              <w:jc w:val="left"/>
              <w:rPr/>
            </w:pPr>
            <w:r>
              <w:rPr/>
              <w:t> </w:t>
            </w:r>
          </w:p>
        </w:tc>
      </w:tr>
      <w:tr>
        <w:trPr/>
        <w:tc>
          <w:tcPr>
            <w:tcW w:w="1021" w:type="dxa"/>
            <w:tcBorders/>
            <w:vAlign w:val="center"/>
          </w:tcPr>
          <w:p>
            <w:pPr>
              <w:pStyle w:val="TableContents"/>
              <w:bidi w:val="0"/>
              <w:spacing w:before="0" w:after="20"/>
              <w:jc w:val="left"/>
              <w:rPr/>
            </w:pPr>
            <w:r>
              <w:rPr/>
              <w:drawing>
                <wp:inline distT="0" distB="0" distL="0" distR="0">
                  <wp:extent cx="600710" cy="8013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00710" cy="80137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pPr>
            <w:r>
              <w:rPr/>
              <w:drawing>
                <wp:inline distT="0" distB="0" distL="0" distR="0">
                  <wp:extent cx="940435" cy="498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40435" cy="498475"/>
                          </a:xfrm>
                          <a:prstGeom prst="rect">
                            <a:avLst/>
                          </a:prstGeom>
                        </pic:spPr>
                      </pic:pic>
                    </a:graphicData>
                  </a:graphic>
                </wp:inline>
              </w:drawing>
            </w:r>
            <w:r>
              <w:rPr/>
              <w:t xml:space="preserve"> </w:t>
            </w:r>
          </w:p>
          <w:p>
            <w:pPr>
              <w:pStyle w:val="TableContents"/>
              <w:bidi w:val="0"/>
              <w:spacing w:before="0" w:after="0"/>
              <w:jc w:val="left"/>
              <w:rPr>
                <w:rFonts w:ascii="Arial" w:hAnsi="Arial"/>
                <w:b/>
                <w:color w:val="228AB4"/>
                <w:sz w:val="18"/>
              </w:rPr>
            </w:pPr>
            <w:r>
              <w:rPr>
                <w:rFonts w:ascii="Arial" w:hAnsi="Arial"/>
                <w:b/>
                <w:color w:val="228AB4"/>
                <w:sz w:val="18"/>
              </w:rPr>
              <w:t>Joseph B. Armes</w:t>
            </w:r>
          </w:p>
          <w:p>
            <w:pPr>
              <w:pStyle w:val="TableContents"/>
              <w:bidi w:val="0"/>
              <w:spacing w:before="0" w:after="20"/>
              <w:jc w:val="left"/>
              <w:rPr>
                <w:rFonts w:ascii="Arial" w:hAnsi="Arial"/>
                <w:i/>
                <w:color w:val="191919"/>
                <w:sz w:val="18"/>
              </w:rPr>
            </w:pPr>
            <w:r>
              <w:rPr>
                <w:rFonts w:ascii="Arial" w:hAnsi="Arial"/>
                <w:i/>
                <w:color w:val="191919"/>
                <w:sz w:val="18"/>
              </w:rPr>
              <w:t>Chairman, CEO and President</w:t>
            </w:r>
          </w:p>
        </w:tc>
        <w:tc>
          <w:tcPr>
            <w:tcW w:w="6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0"/>
              <w:jc w:val="left"/>
              <w:rPr/>
            </w:pPr>
            <w:r>
              <w:rPr/>
              <w:drawing>
                <wp:inline distT="0" distB="0" distL="0" distR="0">
                  <wp:extent cx="600710" cy="80137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00710" cy="80137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613" w:type="dxa"/>
            <w:gridSpan w:val="3"/>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424305" cy="35814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24305" cy="358140"/>
                          </a:xfrm>
                          <a:prstGeom prst="rect">
                            <a:avLst/>
                          </a:prstGeom>
                        </pic:spPr>
                      </pic:pic>
                    </a:graphicData>
                  </a:graphic>
                </wp:inline>
              </w:drawing>
            </w:r>
            <w:r>
              <w:rPr/>
              <w:t xml:space="preserve"> </w:t>
            </w:r>
          </w:p>
          <w:p>
            <w:pPr>
              <w:pStyle w:val="TableContents"/>
              <w:bidi w:val="0"/>
              <w:spacing w:before="0" w:after="0"/>
              <w:jc w:val="left"/>
              <w:rPr>
                <w:rFonts w:ascii="Arial" w:hAnsi="Arial"/>
                <w:b/>
                <w:color w:val="228AB4"/>
                <w:sz w:val="18"/>
              </w:rPr>
            </w:pPr>
            <w:r>
              <w:rPr>
                <w:rFonts w:ascii="Arial" w:hAnsi="Arial"/>
                <w:b/>
                <w:color w:val="228AB4"/>
                <w:sz w:val="18"/>
              </w:rPr>
              <w:t>Luke E. Alverson</w:t>
            </w:r>
          </w:p>
          <w:p>
            <w:pPr>
              <w:pStyle w:val="TableContents"/>
              <w:bidi w:val="0"/>
              <w:spacing w:before="0" w:after="0"/>
              <w:jc w:val="left"/>
              <w:rPr>
                <w:rFonts w:ascii="Arial" w:hAnsi="Arial"/>
                <w:i/>
                <w:color w:val="191919"/>
                <w:sz w:val="18"/>
              </w:rPr>
            </w:pPr>
            <w:r>
              <w:rPr>
                <w:rFonts w:ascii="Arial" w:hAnsi="Arial"/>
                <w:i/>
                <w:color w:val="191919"/>
                <w:sz w:val="18"/>
              </w:rPr>
              <w:t>Senior Vice President,</w:t>
            </w:r>
          </w:p>
          <w:p>
            <w:pPr>
              <w:pStyle w:val="TableContents"/>
              <w:bidi w:val="0"/>
              <w:spacing w:before="0" w:after="20"/>
              <w:jc w:val="left"/>
              <w:rPr>
                <w:rFonts w:ascii="Arial" w:hAnsi="Arial"/>
                <w:i/>
                <w:color w:val="191919"/>
                <w:sz w:val="18"/>
              </w:rPr>
            </w:pPr>
            <w:r>
              <w:rPr>
                <w:rFonts w:ascii="Arial" w:hAnsi="Arial"/>
                <w:i/>
                <w:color w:val="191919"/>
                <w:sz w:val="18"/>
              </w:rPr>
              <w:t>General Counsel and Secretary</w:t>
            </w:r>
          </w:p>
        </w:tc>
      </w:tr>
    </w:tbl>
    <w:p>
      <w:pPr>
        <w:pStyle w:val="TextBody"/>
        <w:bidi w:val="0"/>
        <w:spacing w:before="120" w:after="0"/>
        <w:jc w:val="left"/>
        <w:rPr>
          <w:rFonts w:ascii="Arial" w:hAnsi="Arial"/>
          <w:i/>
          <w:color w:val="191919"/>
          <w:sz w:val="18"/>
        </w:rPr>
      </w:pPr>
      <w:r>
        <w:rPr>
          <w:rFonts w:ascii="Arial" w:hAnsi="Arial"/>
          <w:i/>
          <w:color w:val="191919"/>
          <w:sz w:val="18"/>
        </w:rPr>
        <w:t xml:space="preserve">July 16, 2026 </w:t>
      </w:r>
    </w:p>
    <w:p>
      <w:pPr>
        <w:pStyle w:val="TextBody"/>
        <w:bidi w:val="0"/>
        <w:spacing w:before="0" w:after="0"/>
        <w:jc w:val="left"/>
        <w:rPr/>
      </w:pPr>
      <w:r>
        <w:rPr/>
        <w:t> </w:t>
      </w:r>
    </w:p>
    <w:tbl>
      <w:tblPr>
        <w:tblW w:w="358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b/>
              </w:rPr>
            </w:pPr>
            <w:r>
              <w:rPr>
                <w:b/>
              </w:rPr>
              <w:t>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0A7DAC"/>
          <w:sz w:val="40"/>
        </w:rPr>
      </w:pPr>
      <w:bookmarkStart w:id="2" w:name="toc"/>
      <w:bookmarkEnd w:id="2"/>
      <w:r>
        <w:rPr>
          <w:rFonts w:ascii="Arial" w:hAnsi="Arial"/>
          <w:b/>
          <w:color w:val="0A7DAC"/>
          <w:sz w:val="40"/>
        </w:rPr>
        <w:t xml:space="preserve">Table of Contents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3110230" cy="9972040"/>
                <wp:effectExtent l="0" t="0" r="0" b="0"/>
                <wp:wrapSquare wrapText="right"/>
                <wp:docPr id="22"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4885" w:type="dxa"/>
                              <w:jc w:val="left"/>
                              <w:tblInd w:w="0" w:type="dxa"/>
                              <w:tblLayout w:type="fixed"/>
                              <w:tblCellMar>
                                <w:top w:w="0" w:type="dxa"/>
                                <w:left w:w="0" w:type="dxa"/>
                                <w:bottom w:w="0" w:type="dxa"/>
                                <w:right w:w="0" w:type="dxa"/>
                              </w:tblCellMar>
                            </w:tblPr>
                            <w:tblGrid>
                              <w:gridCol w:w="4370"/>
                              <w:gridCol w:w="120"/>
                              <w:gridCol w:w="60"/>
                              <w:gridCol w:w="260"/>
                              <w:gridCol w:w="75"/>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
                                    <w:r>
                                      <w:rPr>
                                        <w:rStyle w:val="InternetLink"/>
                                        <w:rFonts w:ascii="Arial" w:hAnsi="Arial"/>
                                        <w:b/>
                                        <w:color w:val="8ABD66"/>
                                        <w:sz w:val="16"/>
                                      </w:rPr>
                                      <w:t>Our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1</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2">
                                    <w:r>
                                      <w:rPr>
                                        <w:rStyle w:val="InternetLink"/>
                                        <w:rFonts w:ascii="Arial" w:hAnsi="Arial"/>
                                        <w:b/>
                                        <w:color w:val="8ABD66"/>
                                        <w:sz w:val="16"/>
                                      </w:rPr>
                                      <w:t>Proxy Statement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4</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3">
                                    <w:r>
                                      <w:rPr>
                                        <w:rStyle w:val="InternetLink"/>
                                        <w:rFonts w:ascii="Arial" w:hAnsi="Arial"/>
                                        <w:b/>
                                        <w:color w:val="8ABD66"/>
                                        <w:sz w:val="16"/>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9</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4">
                                    <w:r>
                                      <w:rPr>
                                        <w:rStyle w:val="InternetLink"/>
                                        <w:rFonts w:ascii="Arial" w:hAnsi="Arial"/>
                                        <w:color w:val="191919"/>
                                        <w:sz w:val="17"/>
                                      </w:rPr>
                                      <w:t>Required Vote and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9</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5">
                                    <w:r>
                                      <w:rPr>
                                        <w:rStyle w:val="InternetLink"/>
                                        <w:rFonts w:ascii="Arial" w:hAnsi="Arial"/>
                                        <w:color w:val="191919"/>
                                        <w:sz w:val="17"/>
                                      </w:rPr>
                                      <w:t>Director Nominees for Election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10</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6">
                                    <w:r>
                                      <w:rPr>
                                        <w:rStyle w:val="InternetLink"/>
                                        <w:rFonts w:ascii="Arial" w:hAnsi="Arial"/>
                                        <w:b/>
                                        <w:color w:val="8ABD66"/>
                                        <w:sz w:val="16"/>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17</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7">
                                    <w:r>
                                      <w:rPr>
                                        <w:rStyle w:val="InternetLink"/>
                                        <w:rFonts w:ascii="Arial" w:hAnsi="Arial"/>
                                        <w:color w:val="191919"/>
                                        <w:sz w:val="17"/>
                                      </w:rPr>
                                      <w:t>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17</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8">
                                    <w:r>
                                      <w:rPr>
                                        <w:rStyle w:val="InternetLink"/>
                                        <w:rFonts w:ascii="Arial" w:hAnsi="Arial"/>
                                        <w:color w:val="191919"/>
                                        <w:sz w:val="17"/>
                                      </w:rPr>
                                      <w:t>Board and Committee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17</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9">
                                    <w:r>
                                      <w:rPr>
                                        <w:rStyle w:val="InternetLink"/>
                                        <w:rFonts w:ascii="Arial" w:hAnsi="Arial"/>
                                        <w:color w:val="191919"/>
                                        <w:sz w:val="17"/>
                                      </w:rPr>
                                      <w:t>Director Engagement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19</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0">
                                    <w:r>
                                      <w:rPr>
                                        <w:rStyle w:val="InternetLink"/>
                                        <w:rFonts w:ascii="Arial" w:hAnsi="Arial"/>
                                        <w:color w:val="191919"/>
                                        <w:sz w:val="17"/>
                                      </w:rPr>
                                      <w:t>Board Oversight of 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21</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1">
                                    <w:r>
                                      <w:rPr>
                                        <w:rStyle w:val="InternetLink"/>
                                        <w:rFonts w:ascii="Arial" w:hAnsi="Arial"/>
                                        <w:color w:val="191919"/>
                                        <w:sz w:val="17"/>
                                      </w:rPr>
                                      <w:t>Corporate Sustainability, Culture &amp; Compliance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2">
                                    <w:r>
                                      <w:rPr>
                                        <w:rStyle w:val="InternetLink"/>
                                        <w:rFonts w:ascii="Arial" w:hAnsi="Arial"/>
                                        <w:color w:val="191919"/>
                                        <w:sz w:val="17"/>
                                      </w:rPr>
                                      <w:t>Other Governance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24</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3">
                                    <w:r>
                                      <w:rPr>
                                        <w:rStyle w:val="InternetLink"/>
                                        <w:rFonts w:ascii="Arial" w:hAnsi="Arial"/>
                                        <w:color w:val="191919"/>
                                        <w:sz w:val="17"/>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26</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4">
                                    <w:r>
                                      <w:rPr>
                                        <w:rStyle w:val="InternetLink"/>
                                        <w:rFonts w:ascii="Arial" w:hAnsi="Arial"/>
                                        <w:b/>
                                        <w:color w:val="8ABD66"/>
                                        <w:sz w:val="16"/>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28</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5">
                                    <w:r>
                                      <w:rPr>
                                        <w:rStyle w:val="InternetLink"/>
                                        <w:rFonts w:ascii="Arial" w:hAnsi="Arial"/>
                                        <w:b/>
                                        <w:color w:val="8ABD66"/>
                                        <w:sz w:val="16"/>
                                      </w:rPr>
                                      <w:t>Proposal 2: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30</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16">
                                    <w:r>
                                      <w:rPr>
                                        <w:rStyle w:val="InternetLink"/>
                                        <w:rFonts w:ascii="Arial" w:hAnsi="Arial"/>
                                        <w:color w:val="191919"/>
                                        <w:sz w:val="17"/>
                                      </w:rPr>
                                      <w:t>Required Vote and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31</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7">
                                    <w:r>
                                      <w:rPr>
                                        <w:rStyle w:val="InternetLink"/>
                                        <w:rFonts w:ascii="Arial" w:hAnsi="Arial"/>
                                        <w:b/>
                                        <w:color w:val="8ABD66"/>
                                        <w:sz w:val="16"/>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32</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18a">
                                    <w:r>
                                      <w:rPr>
                                        <w:rStyle w:val="InternetLink"/>
                                        <w:rFonts w:ascii="Arial" w:hAnsi="Arial"/>
                                        <w:color w:val="191919"/>
                                        <w:sz w:val="17"/>
                                      </w:rPr>
                                      <w:t>Compensation &amp; Talent Development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32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9">
                                    <w:r>
                                      <w:rPr>
                                        <w:rStyle w:val="InternetLink"/>
                                        <w:rFonts w:ascii="Arial" w:hAnsi="Arial"/>
                                        <w:color w:val="191919"/>
                                        <w:sz w:val="17"/>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33</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0a">
                                    <w:r>
                                      <w:rPr>
                                        <w:rStyle w:val="InternetLink"/>
                                        <w:rFonts w:ascii="Arial" w:hAnsi="Arial"/>
                                        <w:color w:val="191919"/>
                                        <w:sz w:val="17"/>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59</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1a">
                                    <w:r>
                                      <w:rPr>
                                        <w:rStyle w:val="InternetLink"/>
                                        <w:rFonts w:ascii="Arial" w:hAnsi="Arial"/>
                                        <w:color w:val="191919"/>
                                        <w:sz w:val="17"/>
                                      </w:rPr>
                                      <w:t>2026 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60</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2a">
                                    <w:r>
                                      <w:rPr>
                                        <w:rStyle w:val="InternetLink"/>
                                        <w:rFonts w:ascii="Arial" w:hAnsi="Arial"/>
                                        <w:color w:val="191919"/>
                                        <w:sz w:val="17"/>
                                      </w:rPr>
                                      <w:t>Outstanding Equity Awards at Year-End 2026</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61</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3a">
                                    <w:r>
                                      <w:rPr>
                                        <w:rStyle w:val="InternetLink"/>
                                        <w:rFonts w:ascii="Arial" w:hAnsi="Arial"/>
                                        <w:color w:val="191919"/>
                                        <w:sz w:val="17"/>
                                      </w:rPr>
                                      <w:t>2026 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4a">
                                    <w:r>
                                      <w:rPr>
                                        <w:rStyle w:val="InternetLink"/>
                                        <w:rFonts w:ascii="Arial" w:hAnsi="Arial"/>
                                        <w:color w:val="191919"/>
                                        <w:sz w:val="17"/>
                                      </w:rPr>
                                      <w:t>2026 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5">
                                    <w:r>
                                      <w:rPr>
                                        <w:rStyle w:val="InternetLink"/>
                                        <w:rFonts w:ascii="Arial" w:hAnsi="Arial"/>
                                        <w:color w:val="191919"/>
                                        <w:sz w:val="17"/>
                                      </w:rPr>
                                      <w:t>Potential Payments upon Termination or Change-In-Control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63</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6">
                                    <w:r>
                                      <w:rPr>
                                        <w:rStyle w:val="InternetLink"/>
                                        <w:rFonts w:ascii="Arial" w:hAnsi="Arial"/>
                                        <w:color w:val="191919"/>
                                        <w:sz w:val="17"/>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66</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7a">
                                    <w:r>
                                      <w:rPr>
                                        <w:rStyle w:val="InternetLink"/>
                                        <w:rFonts w:ascii="Arial" w:hAnsi="Arial"/>
                                        <w:color w:val="191919"/>
                                        <w:sz w:val="17"/>
                                      </w:rPr>
                                      <w:t>Pay Versus Performance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67</w:t>
                                  </w:r>
                                </w:p>
                              </w:tc>
                              <w:tc>
                                <w:tcPr>
                                  <w:tcW w:w="75" w:type="dxa"/>
                                  <w:tcBorders/>
                                  <w:vAlign w:val="center"/>
                                </w:tcPr>
                                <w:p>
                                  <w:pPr>
                                    <w:pStyle w:val="TableContents"/>
                                    <w:bidi w:val="0"/>
                                    <w:spacing w:before="0" w:after="283"/>
                                    <w:jc w:val="left"/>
                                    <w:rPr>
                                      <w:color w:val="191919"/>
                                    </w:rPr>
                                  </w:pPr>
                                  <w:r>
                                    <w:rPr>
                                      <w:color w:val="19191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885" w:type="dxa"/>
                        <w:jc w:val="left"/>
                        <w:tblInd w:w="0" w:type="dxa"/>
                        <w:tblLayout w:type="fixed"/>
                        <w:tblCellMar>
                          <w:top w:w="0" w:type="dxa"/>
                          <w:left w:w="0" w:type="dxa"/>
                          <w:bottom w:w="0" w:type="dxa"/>
                          <w:right w:w="0" w:type="dxa"/>
                        </w:tblCellMar>
                      </w:tblPr>
                      <w:tblGrid>
                        <w:gridCol w:w="4370"/>
                        <w:gridCol w:w="120"/>
                        <w:gridCol w:w="60"/>
                        <w:gridCol w:w="260"/>
                        <w:gridCol w:w="75"/>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
                              <w:r>
                                <w:rPr>
                                  <w:rStyle w:val="InternetLink"/>
                                  <w:rFonts w:ascii="Arial" w:hAnsi="Arial"/>
                                  <w:b/>
                                  <w:color w:val="8ABD66"/>
                                  <w:sz w:val="16"/>
                                </w:rPr>
                                <w:t>Our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1</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2">
                              <w:r>
                                <w:rPr>
                                  <w:rStyle w:val="InternetLink"/>
                                  <w:rFonts w:ascii="Arial" w:hAnsi="Arial"/>
                                  <w:b/>
                                  <w:color w:val="8ABD66"/>
                                  <w:sz w:val="16"/>
                                </w:rPr>
                                <w:t>Proxy Statement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4</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3">
                              <w:r>
                                <w:rPr>
                                  <w:rStyle w:val="InternetLink"/>
                                  <w:rFonts w:ascii="Arial" w:hAnsi="Arial"/>
                                  <w:b/>
                                  <w:color w:val="8ABD66"/>
                                  <w:sz w:val="16"/>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9</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4">
                              <w:r>
                                <w:rPr>
                                  <w:rStyle w:val="InternetLink"/>
                                  <w:rFonts w:ascii="Arial" w:hAnsi="Arial"/>
                                  <w:color w:val="191919"/>
                                  <w:sz w:val="17"/>
                                </w:rPr>
                                <w:t>Required Vote and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9</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5">
                              <w:r>
                                <w:rPr>
                                  <w:rStyle w:val="InternetLink"/>
                                  <w:rFonts w:ascii="Arial" w:hAnsi="Arial"/>
                                  <w:color w:val="191919"/>
                                  <w:sz w:val="17"/>
                                </w:rPr>
                                <w:t>Director Nominees for Election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10</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6">
                              <w:r>
                                <w:rPr>
                                  <w:rStyle w:val="InternetLink"/>
                                  <w:rFonts w:ascii="Arial" w:hAnsi="Arial"/>
                                  <w:b/>
                                  <w:color w:val="8ABD66"/>
                                  <w:sz w:val="16"/>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17</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7">
                              <w:r>
                                <w:rPr>
                                  <w:rStyle w:val="InternetLink"/>
                                  <w:rFonts w:ascii="Arial" w:hAnsi="Arial"/>
                                  <w:color w:val="191919"/>
                                  <w:sz w:val="17"/>
                                </w:rPr>
                                <w:t>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17</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8">
                              <w:r>
                                <w:rPr>
                                  <w:rStyle w:val="InternetLink"/>
                                  <w:rFonts w:ascii="Arial" w:hAnsi="Arial"/>
                                  <w:color w:val="191919"/>
                                  <w:sz w:val="17"/>
                                </w:rPr>
                                <w:t>Board and Committee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17</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9">
                              <w:r>
                                <w:rPr>
                                  <w:rStyle w:val="InternetLink"/>
                                  <w:rFonts w:ascii="Arial" w:hAnsi="Arial"/>
                                  <w:color w:val="191919"/>
                                  <w:sz w:val="17"/>
                                </w:rPr>
                                <w:t>Director Engagement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19</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0">
                              <w:r>
                                <w:rPr>
                                  <w:rStyle w:val="InternetLink"/>
                                  <w:rFonts w:ascii="Arial" w:hAnsi="Arial"/>
                                  <w:color w:val="191919"/>
                                  <w:sz w:val="17"/>
                                </w:rPr>
                                <w:t>Board Oversight of 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21</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1">
                              <w:r>
                                <w:rPr>
                                  <w:rStyle w:val="InternetLink"/>
                                  <w:rFonts w:ascii="Arial" w:hAnsi="Arial"/>
                                  <w:color w:val="191919"/>
                                  <w:sz w:val="17"/>
                                </w:rPr>
                                <w:t>Corporate Sustainability, Culture &amp; Compliance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2">
                              <w:r>
                                <w:rPr>
                                  <w:rStyle w:val="InternetLink"/>
                                  <w:rFonts w:ascii="Arial" w:hAnsi="Arial"/>
                                  <w:color w:val="191919"/>
                                  <w:sz w:val="17"/>
                                </w:rPr>
                                <w:t>Other Governance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24</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3">
                              <w:r>
                                <w:rPr>
                                  <w:rStyle w:val="InternetLink"/>
                                  <w:rFonts w:ascii="Arial" w:hAnsi="Arial"/>
                                  <w:color w:val="191919"/>
                                  <w:sz w:val="17"/>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26</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4">
                              <w:r>
                                <w:rPr>
                                  <w:rStyle w:val="InternetLink"/>
                                  <w:rFonts w:ascii="Arial" w:hAnsi="Arial"/>
                                  <w:b/>
                                  <w:color w:val="8ABD66"/>
                                  <w:sz w:val="16"/>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28</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5">
                              <w:r>
                                <w:rPr>
                                  <w:rStyle w:val="InternetLink"/>
                                  <w:rFonts w:ascii="Arial" w:hAnsi="Arial"/>
                                  <w:b/>
                                  <w:color w:val="8ABD66"/>
                                  <w:sz w:val="16"/>
                                </w:rPr>
                                <w:t>Proposal 2: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30</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16">
                              <w:r>
                                <w:rPr>
                                  <w:rStyle w:val="InternetLink"/>
                                  <w:rFonts w:ascii="Arial" w:hAnsi="Arial"/>
                                  <w:color w:val="191919"/>
                                  <w:sz w:val="17"/>
                                </w:rPr>
                                <w:t>Required Vote and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31</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left"/>
                              <w:rPr/>
                            </w:pPr>
                            <w:hyperlink w:anchor="toc36145_17">
                              <w:r>
                                <w:rPr>
                                  <w:rStyle w:val="InternetLink"/>
                                  <w:rFonts w:ascii="Arial" w:hAnsi="Arial"/>
                                  <w:b/>
                                  <w:color w:val="8ABD66"/>
                                  <w:sz w:val="16"/>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260" w:type="dxa"/>
                            <w:tcBorders/>
                            <w:vAlign w:val="center"/>
                          </w:tcPr>
                          <w:p>
                            <w:pPr>
                              <w:pStyle w:val="TableContents"/>
                              <w:bidi w:val="0"/>
                              <w:spacing w:before="0" w:after="283"/>
                              <w:jc w:val="right"/>
                              <w:rPr>
                                <w:b/>
                                <w:color w:val="8ABD66"/>
                              </w:rPr>
                            </w:pPr>
                            <w:r>
                              <w:rPr>
                                <w:b/>
                                <w:color w:val="8ABD66"/>
                              </w:rPr>
                              <w:t>32</w:t>
                            </w:r>
                          </w:p>
                        </w:tc>
                        <w:tc>
                          <w:tcPr>
                            <w:tcW w:w="75" w:type="dxa"/>
                            <w:tcBorders/>
                            <w:vAlign w:val="center"/>
                          </w:tcPr>
                          <w:p>
                            <w:pPr>
                              <w:pStyle w:val="TableContents"/>
                              <w:bidi w:val="0"/>
                              <w:spacing w:before="0" w:after="283"/>
                              <w:jc w:val="left"/>
                              <w:rPr>
                                <w:color w:val="8ABD66"/>
                              </w:rPr>
                            </w:pPr>
                            <w:r>
                              <w:rPr>
                                <w:color w:val="8ABD66"/>
                              </w:rPr>
                              <w:t> </w:t>
                            </w:r>
                          </w:p>
                        </w:tc>
                      </w:tr>
                      <w:tr>
                        <w:trPr/>
                        <w:tc>
                          <w:tcPr>
                            <w:tcW w:w="4370" w:type="dxa"/>
                            <w:tcBorders/>
                            <w:vAlign w:val="center"/>
                          </w:tcPr>
                          <w:p>
                            <w:pPr>
                              <w:pStyle w:val="TableContents"/>
                              <w:bidi w:val="0"/>
                              <w:spacing w:before="0" w:after="0"/>
                              <w:jc w:val="left"/>
                              <w:rPr/>
                            </w:pPr>
                            <w:hyperlink w:anchor="toc36145_18a">
                              <w:r>
                                <w:rPr>
                                  <w:rStyle w:val="InternetLink"/>
                                  <w:rFonts w:ascii="Arial" w:hAnsi="Arial"/>
                                  <w:color w:val="191919"/>
                                  <w:sz w:val="17"/>
                                </w:rPr>
                                <w:t>Compensation &amp; Talent Development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32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19">
                              <w:r>
                                <w:rPr>
                                  <w:rStyle w:val="InternetLink"/>
                                  <w:rFonts w:ascii="Arial" w:hAnsi="Arial"/>
                                  <w:color w:val="191919"/>
                                  <w:sz w:val="17"/>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33</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0a">
                              <w:r>
                                <w:rPr>
                                  <w:rStyle w:val="InternetLink"/>
                                  <w:rFonts w:ascii="Arial" w:hAnsi="Arial"/>
                                  <w:color w:val="191919"/>
                                  <w:sz w:val="17"/>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59</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1a">
                              <w:r>
                                <w:rPr>
                                  <w:rStyle w:val="InternetLink"/>
                                  <w:rFonts w:ascii="Arial" w:hAnsi="Arial"/>
                                  <w:color w:val="191919"/>
                                  <w:sz w:val="17"/>
                                </w:rPr>
                                <w:t>2026 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60</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2a">
                              <w:r>
                                <w:rPr>
                                  <w:rStyle w:val="InternetLink"/>
                                  <w:rFonts w:ascii="Arial" w:hAnsi="Arial"/>
                                  <w:color w:val="191919"/>
                                  <w:sz w:val="17"/>
                                </w:rPr>
                                <w:t>Outstanding Equity Awards at Year-End 2026</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61</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3a">
                              <w:r>
                                <w:rPr>
                                  <w:rStyle w:val="InternetLink"/>
                                  <w:rFonts w:ascii="Arial" w:hAnsi="Arial"/>
                                  <w:color w:val="191919"/>
                                  <w:sz w:val="17"/>
                                </w:rPr>
                                <w:t>2026 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4a">
                              <w:r>
                                <w:rPr>
                                  <w:rStyle w:val="InternetLink"/>
                                  <w:rFonts w:ascii="Arial" w:hAnsi="Arial"/>
                                  <w:color w:val="191919"/>
                                  <w:sz w:val="17"/>
                                </w:rPr>
                                <w:t>2026 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62</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5">
                              <w:r>
                                <w:rPr>
                                  <w:rStyle w:val="InternetLink"/>
                                  <w:rFonts w:ascii="Arial" w:hAnsi="Arial"/>
                                  <w:color w:val="191919"/>
                                  <w:sz w:val="17"/>
                                </w:rPr>
                                <w:t>Potential Payments upon Termination or Change-In-Control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63</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6">
                              <w:r>
                                <w:rPr>
                                  <w:rStyle w:val="InternetLink"/>
                                  <w:rFonts w:ascii="Arial" w:hAnsi="Arial"/>
                                  <w:color w:val="191919"/>
                                  <w:sz w:val="17"/>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66</w:t>
                            </w:r>
                          </w:p>
                        </w:tc>
                        <w:tc>
                          <w:tcPr>
                            <w:tcW w:w="75" w:type="dxa"/>
                            <w:tcBorders/>
                            <w:vAlign w:val="center"/>
                          </w:tcPr>
                          <w:p>
                            <w:pPr>
                              <w:pStyle w:val="TableContents"/>
                              <w:bidi w:val="0"/>
                              <w:spacing w:before="0" w:after="283"/>
                              <w:jc w:val="left"/>
                              <w:rPr>
                                <w:color w:val="191919"/>
                              </w:rPr>
                            </w:pPr>
                            <w:r>
                              <w:rPr>
                                <w:color w:val="191919"/>
                              </w:rPr>
                              <w:t> </w:t>
                            </w:r>
                          </w:p>
                        </w:tc>
                      </w:tr>
                      <w:tr>
                        <w:trPr/>
                        <w:tc>
                          <w:tcPr>
                            <w:tcW w:w="4370" w:type="dxa"/>
                            <w:tcBorders/>
                            <w:vAlign w:val="center"/>
                          </w:tcPr>
                          <w:p>
                            <w:pPr>
                              <w:pStyle w:val="TableContents"/>
                              <w:bidi w:val="0"/>
                              <w:spacing w:before="0" w:after="0"/>
                              <w:jc w:val="left"/>
                              <w:rPr/>
                            </w:pPr>
                            <w:hyperlink w:anchor="toc36145_27a">
                              <w:r>
                                <w:rPr>
                                  <w:rStyle w:val="InternetLink"/>
                                  <w:rFonts w:ascii="Arial" w:hAnsi="Arial"/>
                                  <w:color w:val="191919"/>
                                  <w:sz w:val="17"/>
                                </w:rPr>
                                <w:t>Pay Versus Performance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260" w:type="dxa"/>
                            <w:tcBorders/>
                            <w:vAlign w:val="center"/>
                          </w:tcPr>
                          <w:p>
                            <w:pPr>
                              <w:pStyle w:val="TableContents"/>
                              <w:bidi w:val="0"/>
                              <w:spacing w:before="0" w:after="283"/>
                              <w:jc w:val="right"/>
                              <w:rPr>
                                <w:color w:val="191919"/>
                              </w:rPr>
                            </w:pPr>
                            <w:r>
                              <w:rPr>
                                <w:color w:val="191919"/>
                              </w:rPr>
                              <w:t>67</w:t>
                            </w:r>
                          </w:p>
                        </w:tc>
                        <w:tc>
                          <w:tcPr>
                            <w:tcW w:w="75" w:type="dxa"/>
                            <w:tcBorders/>
                            <w:vAlign w:val="center"/>
                          </w:tcPr>
                          <w:p>
                            <w:pPr>
                              <w:pStyle w:val="TableContents"/>
                              <w:bidi w:val="0"/>
                              <w:spacing w:before="0" w:after="283"/>
                              <w:jc w:val="left"/>
                              <w:rPr>
                                <w:color w:val="191919"/>
                              </w:rPr>
                            </w:pPr>
                            <w:r>
                              <w:rPr>
                                <w:color w:val="191919"/>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3175000" cy="9718675"/>
                <wp:effectExtent l="0" t="0" r="0" b="0"/>
                <wp:wrapSquare wrapText="right"/>
                <wp:docPr id="23" name="Frame2"/>
                <a:graphic xmlns:a="http://schemas.openxmlformats.org/drawingml/2006/main">
                  <a:graphicData uri="http://schemas.microsoft.com/office/word/2010/wordprocessingShape">
                    <wps:wsp>
                      <wps:cNvSpPr txBox="1"/>
                      <wps:spPr>
                        <a:xfrm>
                          <a:off x="0" y="0"/>
                          <a:ext cx="3175000" cy="97186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575"/>
                              <w:gridCol w:w="120"/>
                              <w:gridCol w:w="60"/>
                              <w:gridCol w:w="374"/>
                              <w:gridCol w:w="76"/>
                            </w:tblGrid>
                            <w:tr>
                              <w:trPr/>
                              <w:tc>
                                <w:tcPr>
                                  <w:tcW w:w="9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28">
                                    <w:r>
                                      <w:rPr>
                                        <w:rStyle w:val="InternetLink"/>
                                        <w:rFonts w:ascii="Arial" w:hAnsi="Arial"/>
                                        <w:b/>
                                        <w:color w:val="8ABD66"/>
                                        <w:sz w:val="16"/>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69</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29">
                                    <w:r>
                                      <w:rPr>
                                        <w:rStyle w:val="InternetLink"/>
                                        <w:rFonts w:ascii="Arial" w:hAnsi="Arial"/>
                                        <w:b/>
                                        <w:color w:val="8ABD66"/>
                                        <w:sz w:val="16"/>
                                      </w:rPr>
                                      <w:t>Section 16(a) Beneficial Ownership Reporting Compliance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69</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0">
                                    <w:r>
                                      <w:rPr>
                                        <w:rStyle w:val="InternetLink"/>
                                        <w:rFonts w:ascii="Arial" w:hAnsi="Arial"/>
                                        <w:b/>
                                        <w:color w:val="8ABD66"/>
                                        <w:sz w:val="16"/>
                                      </w:rPr>
                                      <w:t>Proposal 3: Ratification of Grant Thornton LLP’s Appointment to Serve as our Independent Registered Public Accounting Firm for Fiscal 2027</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70</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31">
                                    <w:r>
                                      <w:rPr>
                                        <w:rStyle w:val="InternetLink"/>
                                        <w:rFonts w:ascii="Arial" w:hAnsi="Arial"/>
                                        <w:color w:val="191919"/>
                                        <w:sz w:val="17"/>
                                      </w:rPr>
                                      <w:t>Required Vote and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70</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2">
                                    <w:r>
                                      <w:rPr>
                                        <w:rStyle w:val="InternetLink"/>
                                        <w:rFonts w:ascii="Arial" w:hAnsi="Arial"/>
                                        <w:b/>
                                        <w:color w:val="8ABD66"/>
                                        <w:sz w:val="16"/>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71</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3">
                                    <w:r>
                                      <w:rPr>
                                        <w:rStyle w:val="InternetLink"/>
                                        <w:rFonts w:ascii="Arial" w:hAnsi="Arial"/>
                                        <w:b/>
                                        <w:color w:val="8ABD66"/>
                                        <w:sz w:val="16"/>
                                      </w:rPr>
                                      <w:t>Other Audit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72</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34">
                                    <w:r>
                                      <w:rPr>
                                        <w:rStyle w:val="InternetLink"/>
                                        <w:rFonts w:ascii="Arial" w:hAnsi="Arial"/>
                                        <w:color w:val="191919"/>
                                        <w:sz w:val="17"/>
                                      </w:rPr>
                                      <w:t>Relationship with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72</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35">
                                    <w:r>
                                      <w:rPr>
                                        <w:rStyle w:val="InternetLink"/>
                                        <w:rFonts w:ascii="Arial" w:hAnsi="Arial"/>
                                        <w:color w:val="191919"/>
                                        <w:sz w:val="17"/>
                                      </w:rPr>
                                      <w:t>Audit and Non-Audit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72</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36">
                                    <w:r>
                                      <w:rPr>
                                        <w:rStyle w:val="InternetLink"/>
                                        <w:rFonts w:ascii="Arial" w:hAnsi="Arial"/>
                                        <w:color w:val="191919"/>
                                        <w:sz w:val="17"/>
                                      </w:rPr>
                                      <w:t>Audit Committee Approval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72</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7">
                                    <w:r>
                                      <w:rPr>
                                        <w:rStyle w:val="InternetLink"/>
                                        <w:rFonts w:ascii="Arial" w:hAnsi="Arial"/>
                                        <w:b/>
                                        <w:color w:val="8ABD66"/>
                                        <w:sz w:val="16"/>
                                      </w:rPr>
                                      <w:t xml:space="preserve">Beneficial Ownership of Common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73</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37a">
                                    <w:r>
                                      <w:rPr>
                                        <w:rStyle w:val="InternetLink"/>
                                        <w:rFonts w:ascii="Arial" w:hAnsi="Arial"/>
                                        <w:color w:val="191919"/>
                                        <w:sz w:val="17"/>
                                      </w:rPr>
                                      <w:t xml:space="preserve">Management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73</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38">
                                    <w:r>
                                      <w:rPr>
                                        <w:rStyle w:val="InternetLink"/>
                                        <w:rFonts w:ascii="Arial" w:hAnsi="Arial"/>
                                        <w:color w:val="191919"/>
                                        <w:sz w:val="17"/>
                                      </w:rPr>
                                      <w:t xml:space="preserve">Certain Other Beneficial Owners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74</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9">
                                    <w:r>
                                      <w:rPr>
                                        <w:rStyle w:val="InternetLink"/>
                                        <w:rFonts w:ascii="Arial" w:hAnsi="Arial"/>
                                        <w:b/>
                                        <w:color w:val="8ABD66"/>
                                        <w:sz w:val="16"/>
                                      </w:rPr>
                                      <w:t>General Voting and Meeting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75</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40">
                                    <w:r>
                                      <w:rPr>
                                        <w:rStyle w:val="InternetLink"/>
                                        <w:rFonts w:ascii="Arial" w:hAnsi="Arial"/>
                                        <w:color w:val="191919"/>
                                        <w:sz w:val="17"/>
                                      </w:rPr>
                                      <w:t>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75</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41">
                                    <w:r>
                                      <w:rPr>
                                        <w:rStyle w:val="InternetLink"/>
                                        <w:rFonts w:ascii="Arial" w:hAnsi="Arial"/>
                                        <w:color w:val="191919"/>
                                        <w:sz w:val="17"/>
                                      </w:rPr>
                                      <w:t>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75</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42">
                                    <w:r>
                                      <w:rPr>
                                        <w:rStyle w:val="InternetLink"/>
                                        <w:rFonts w:ascii="Arial" w:hAnsi="Arial"/>
                                        <w:b/>
                                        <w:color w:val="8ABD66"/>
                                        <w:sz w:val="16"/>
                                      </w:rPr>
                                      <w:t>Other Information About this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78</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43">
                                    <w:r>
                                      <w:rPr>
                                        <w:rStyle w:val="InternetLink"/>
                                        <w:rFonts w:ascii="Arial" w:hAnsi="Arial"/>
                                        <w:color w:val="191919"/>
                                        <w:sz w:val="17"/>
                                      </w:rPr>
                                      <w:t>Cost of Proxy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78</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44">
                                    <w:r>
                                      <w:rPr>
                                        <w:rStyle w:val="InternetLink"/>
                                        <w:rFonts w:ascii="Arial" w:hAnsi="Arial"/>
                                        <w:color w:val="191919"/>
                                        <w:sz w:val="17"/>
                                      </w:rPr>
                                      <w:t>Shareholders Sharing an Address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78</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45">
                                    <w:r>
                                      <w:rPr>
                                        <w:rStyle w:val="InternetLink"/>
                                        <w:rFonts w:ascii="Arial" w:hAnsi="Arial"/>
                                        <w:color w:val="191919"/>
                                        <w:sz w:val="17"/>
                                      </w:rPr>
                                      <w:t>Shareholder Proposals and Nominations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78</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46">
                                    <w:r>
                                      <w:rPr>
                                        <w:rStyle w:val="InternetLink"/>
                                        <w:rFonts w:ascii="Arial" w:hAnsi="Arial"/>
                                        <w:b/>
                                        <w:color w:val="8ABD66"/>
                                        <w:sz w:val="16"/>
                                      </w:rPr>
                                      <w:t>Exhibit 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A-1</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47">
                                    <w:r>
                                      <w:rPr>
                                        <w:rStyle w:val="InternetLink"/>
                                        <w:rFonts w:ascii="Arial" w:hAnsi="Arial"/>
                                        <w:color w:val="191919"/>
                                        <w:sz w:val="17"/>
                                      </w:rPr>
                                      <w:t>GAAP to Non-GAAP Reconciliations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A-1</w:t>
                                  </w:r>
                                </w:p>
                              </w:tc>
                              <w:tc>
                                <w:tcPr>
                                  <w:tcW w:w="76" w:type="dxa"/>
                                  <w:tcBorders/>
                                  <w:vAlign w:val="center"/>
                                </w:tcPr>
                                <w:p>
                                  <w:pPr>
                                    <w:pStyle w:val="TableContents"/>
                                    <w:bidi w:val="0"/>
                                    <w:spacing w:before="0" w:after="283"/>
                                    <w:jc w:val="left"/>
                                    <w:rPr>
                                      <w:color w:val="191919"/>
                                    </w:rPr>
                                  </w:pPr>
                                  <w:r>
                                    <w:rPr>
                                      <w:color w:val="19191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575"/>
                        <w:gridCol w:w="120"/>
                        <w:gridCol w:w="60"/>
                        <w:gridCol w:w="374"/>
                        <w:gridCol w:w="76"/>
                      </w:tblGrid>
                      <w:tr>
                        <w:trPr/>
                        <w:tc>
                          <w:tcPr>
                            <w:tcW w:w="9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28">
                              <w:r>
                                <w:rPr>
                                  <w:rStyle w:val="InternetLink"/>
                                  <w:rFonts w:ascii="Arial" w:hAnsi="Arial"/>
                                  <w:b/>
                                  <w:color w:val="8ABD66"/>
                                  <w:sz w:val="16"/>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69</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29">
                              <w:r>
                                <w:rPr>
                                  <w:rStyle w:val="InternetLink"/>
                                  <w:rFonts w:ascii="Arial" w:hAnsi="Arial"/>
                                  <w:b/>
                                  <w:color w:val="8ABD66"/>
                                  <w:sz w:val="16"/>
                                </w:rPr>
                                <w:t>Section 16(a) Beneficial Ownership Reporting Compliance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69</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0">
                              <w:r>
                                <w:rPr>
                                  <w:rStyle w:val="InternetLink"/>
                                  <w:rFonts w:ascii="Arial" w:hAnsi="Arial"/>
                                  <w:b/>
                                  <w:color w:val="8ABD66"/>
                                  <w:sz w:val="16"/>
                                </w:rPr>
                                <w:t>Proposal 3: Ratification of Grant Thornton LLP’s Appointment to Serve as our Independent Registered Public Accounting Firm for Fiscal 2027</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70</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31">
                              <w:r>
                                <w:rPr>
                                  <w:rStyle w:val="InternetLink"/>
                                  <w:rFonts w:ascii="Arial" w:hAnsi="Arial"/>
                                  <w:color w:val="191919"/>
                                  <w:sz w:val="17"/>
                                </w:rPr>
                                <w:t>Required Vote and Recommendation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70</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2">
                              <w:r>
                                <w:rPr>
                                  <w:rStyle w:val="InternetLink"/>
                                  <w:rFonts w:ascii="Arial" w:hAnsi="Arial"/>
                                  <w:b/>
                                  <w:color w:val="8ABD66"/>
                                  <w:sz w:val="16"/>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71</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3">
                              <w:r>
                                <w:rPr>
                                  <w:rStyle w:val="InternetLink"/>
                                  <w:rFonts w:ascii="Arial" w:hAnsi="Arial"/>
                                  <w:b/>
                                  <w:color w:val="8ABD66"/>
                                  <w:sz w:val="16"/>
                                </w:rPr>
                                <w:t>Other Audit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72</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34">
                              <w:r>
                                <w:rPr>
                                  <w:rStyle w:val="InternetLink"/>
                                  <w:rFonts w:ascii="Arial" w:hAnsi="Arial"/>
                                  <w:color w:val="191919"/>
                                  <w:sz w:val="17"/>
                                </w:rPr>
                                <w:t>Relationship with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72</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35">
                              <w:r>
                                <w:rPr>
                                  <w:rStyle w:val="InternetLink"/>
                                  <w:rFonts w:ascii="Arial" w:hAnsi="Arial"/>
                                  <w:color w:val="191919"/>
                                  <w:sz w:val="17"/>
                                </w:rPr>
                                <w:t>Audit and Non-Audit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72</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36">
                              <w:r>
                                <w:rPr>
                                  <w:rStyle w:val="InternetLink"/>
                                  <w:rFonts w:ascii="Arial" w:hAnsi="Arial"/>
                                  <w:color w:val="191919"/>
                                  <w:sz w:val="17"/>
                                </w:rPr>
                                <w:t>Audit Committee Approval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72</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7">
                              <w:r>
                                <w:rPr>
                                  <w:rStyle w:val="InternetLink"/>
                                  <w:rFonts w:ascii="Arial" w:hAnsi="Arial"/>
                                  <w:b/>
                                  <w:color w:val="8ABD66"/>
                                  <w:sz w:val="16"/>
                                </w:rPr>
                                <w:t xml:space="preserve">Beneficial Ownership of Common Stock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73</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37a">
                              <w:r>
                                <w:rPr>
                                  <w:rStyle w:val="InternetLink"/>
                                  <w:rFonts w:ascii="Arial" w:hAnsi="Arial"/>
                                  <w:color w:val="191919"/>
                                  <w:sz w:val="17"/>
                                </w:rPr>
                                <w:t xml:space="preserve">Management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73</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38">
                              <w:r>
                                <w:rPr>
                                  <w:rStyle w:val="InternetLink"/>
                                  <w:rFonts w:ascii="Arial" w:hAnsi="Arial"/>
                                  <w:color w:val="191919"/>
                                  <w:sz w:val="17"/>
                                </w:rPr>
                                <w:t xml:space="preserve">Certain Other Beneficial Owners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74</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39">
                              <w:r>
                                <w:rPr>
                                  <w:rStyle w:val="InternetLink"/>
                                  <w:rFonts w:ascii="Arial" w:hAnsi="Arial"/>
                                  <w:b/>
                                  <w:color w:val="8ABD66"/>
                                  <w:sz w:val="16"/>
                                </w:rPr>
                                <w:t>General Voting and Meeting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75</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40">
                              <w:r>
                                <w:rPr>
                                  <w:rStyle w:val="InternetLink"/>
                                  <w:rFonts w:ascii="Arial" w:hAnsi="Arial"/>
                                  <w:color w:val="191919"/>
                                  <w:sz w:val="17"/>
                                </w:rPr>
                                <w:t>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75</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41">
                              <w:r>
                                <w:rPr>
                                  <w:rStyle w:val="InternetLink"/>
                                  <w:rFonts w:ascii="Arial" w:hAnsi="Arial"/>
                                  <w:color w:val="191919"/>
                                  <w:sz w:val="17"/>
                                </w:rPr>
                                <w:t>Voting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75</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42">
                              <w:r>
                                <w:rPr>
                                  <w:rStyle w:val="InternetLink"/>
                                  <w:rFonts w:ascii="Arial" w:hAnsi="Arial"/>
                                  <w:b/>
                                  <w:color w:val="8ABD66"/>
                                  <w:sz w:val="16"/>
                                </w:rPr>
                                <w:t>Other Information About this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78</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43">
                              <w:r>
                                <w:rPr>
                                  <w:rStyle w:val="InternetLink"/>
                                  <w:rFonts w:ascii="Arial" w:hAnsi="Arial"/>
                                  <w:color w:val="191919"/>
                                  <w:sz w:val="17"/>
                                </w:rPr>
                                <w:t>Cost of Proxy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78</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44">
                              <w:r>
                                <w:rPr>
                                  <w:rStyle w:val="InternetLink"/>
                                  <w:rFonts w:ascii="Arial" w:hAnsi="Arial"/>
                                  <w:color w:val="191919"/>
                                  <w:sz w:val="17"/>
                                </w:rPr>
                                <w:t>Shareholders Sharing an Address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78</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0"/>
                              <w:jc w:val="left"/>
                              <w:rPr/>
                            </w:pPr>
                            <w:hyperlink w:anchor="toc36145_45">
                              <w:r>
                                <w:rPr>
                                  <w:rStyle w:val="InternetLink"/>
                                  <w:rFonts w:ascii="Arial" w:hAnsi="Arial"/>
                                  <w:color w:val="191919"/>
                                  <w:sz w:val="17"/>
                                </w:rPr>
                                <w:t>Shareholder Proposals and Nominations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78</w:t>
                            </w:r>
                          </w:p>
                        </w:tc>
                        <w:tc>
                          <w:tcPr>
                            <w:tcW w:w="76" w:type="dxa"/>
                            <w:tcBorders/>
                            <w:vAlign w:val="center"/>
                          </w:tcPr>
                          <w:p>
                            <w:pPr>
                              <w:pStyle w:val="TableContents"/>
                              <w:bidi w:val="0"/>
                              <w:spacing w:before="0" w:after="283"/>
                              <w:jc w:val="left"/>
                              <w:rPr>
                                <w:color w:val="191919"/>
                              </w:rPr>
                            </w:pPr>
                            <w:r>
                              <w:rPr>
                                <w:color w:val="191919"/>
                              </w:rPr>
                              <w:t> </w:t>
                            </w:r>
                          </w:p>
                        </w:tc>
                      </w:tr>
                      <w:tr>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center"/>
                          </w:tcPr>
                          <w:p>
                            <w:pPr>
                              <w:pStyle w:val="TableContents"/>
                              <w:bidi w:val="0"/>
                              <w:spacing w:before="0" w:after="0"/>
                              <w:jc w:val="left"/>
                              <w:rPr/>
                            </w:pPr>
                            <w:hyperlink w:anchor="toc36145_46">
                              <w:r>
                                <w:rPr>
                                  <w:rStyle w:val="InternetLink"/>
                                  <w:rFonts w:ascii="Arial" w:hAnsi="Arial"/>
                                  <w:b/>
                                  <w:color w:val="8ABD66"/>
                                  <w:sz w:val="16"/>
                                </w:rPr>
                                <w:t>Exhibit 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374" w:type="dxa"/>
                            <w:tcBorders/>
                            <w:vAlign w:val="center"/>
                          </w:tcPr>
                          <w:p>
                            <w:pPr>
                              <w:pStyle w:val="TableContents"/>
                              <w:bidi w:val="0"/>
                              <w:spacing w:before="0" w:after="283"/>
                              <w:jc w:val="right"/>
                              <w:rPr>
                                <w:b/>
                                <w:color w:val="8ABD66"/>
                              </w:rPr>
                            </w:pPr>
                            <w:r>
                              <w:rPr>
                                <w:b/>
                                <w:color w:val="8ABD66"/>
                              </w:rPr>
                              <w:t>A-1</w:t>
                            </w:r>
                          </w:p>
                        </w:tc>
                        <w:tc>
                          <w:tcPr>
                            <w:tcW w:w="76" w:type="dxa"/>
                            <w:tcBorders/>
                            <w:vAlign w:val="center"/>
                          </w:tcPr>
                          <w:p>
                            <w:pPr>
                              <w:pStyle w:val="TableContents"/>
                              <w:bidi w:val="0"/>
                              <w:spacing w:before="0" w:after="283"/>
                              <w:jc w:val="left"/>
                              <w:rPr>
                                <w:color w:val="8ABD66"/>
                              </w:rPr>
                            </w:pPr>
                            <w:r>
                              <w:rPr>
                                <w:color w:val="8ABD66"/>
                              </w:rPr>
                              <w:t> </w:t>
                            </w:r>
                          </w:p>
                        </w:tc>
                      </w:tr>
                      <w:tr>
                        <w:trPr/>
                        <w:tc>
                          <w:tcPr>
                            <w:tcW w:w="9575" w:type="dxa"/>
                            <w:tcBorders/>
                            <w:vAlign w:val="center"/>
                          </w:tcPr>
                          <w:p>
                            <w:pPr>
                              <w:pStyle w:val="TableContents"/>
                              <w:bidi w:val="0"/>
                              <w:spacing w:before="0" w:after="0"/>
                              <w:jc w:val="left"/>
                              <w:rPr/>
                            </w:pPr>
                            <w:hyperlink w:anchor="toc36145_47">
                              <w:r>
                                <w:rPr>
                                  <w:rStyle w:val="InternetLink"/>
                                  <w:rFonts w:ascii="Arial" w:hAnsi="Arial"/>
                                  <w:color w:val="191919"/>
                                  <w:sz w:val="17"/>
                                </w:rPr>
                                <w:t>GAAP to Non-GAAP Reconciliations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374" w:type="dxa"/>
                            <w:tcBorders/>
                            <w:vAlign w:val="center"/>
                          </w:tcPr>
                          <w:p>
                            <w:pPr>
                              <w:pStyle w:val="TableContents"/>
                              <w:bidi w:val="0"/>
                              <w:spacing w:before="0" w:after="283"/>
                              <w:jc w:val="right"/>
                              <w:rPr>
                                <w:color w:val="191919"/>
                              </w:rPr>
                            </w:pPr>
                            <w:r>
                              <w:rPr>
                                <w:color w:val="191919"/>
                              </w:rPr>
                              <w:t>A-1</w:t>
                            </w:r>
                          </w:p>
                        </w:tc>
                        <w:tc>
                          <w:tcPr>
                            <w:tcW w:w="76" w:type="dxa"/>
                            <w:tcBorders/>
                            <w:vAlign w:val="center"/>
                          </w:tcPr>
                          <w:p>
                            <w:pPr>
                              <w:pStyle w:val="TableContents"/>
                              <w:bidi w:val="0"/>
                              <w:spacing w:before="0" w:after="283"/>
                              <w:jc w:val="left"/>
                              <w:rPr>
                                <w:color w:val="191919"/>
                              </w:rPr>
                            </w:pPr>
                            <w:r>
                              <w:rPr>
                                <w:color w:val="191919"/>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3" w:name="toc36145_1"/>
      <w:bookmarkEnd w:id="3"/>
      <w:r>
        <w:rPr>
          <w:rFonts w:ascii="Arial" w:hAnsi="Arial"/>
          <w:b/>
          <w:color w:val="0A7DAC"/>
          <w:sz w:val="40"/>
        </w:rPr>
        <w:t xml:space="preserve">Our Company </w:t>
      </w:r>
    </w:p>
    <w:p>
      <w:pPr>
        <w:pStyle w:val="TextBody"/>
        <w:bidi w:val="0"/>
        <w:spacing w:before="0" w:after="0"/>
        <w:jc w:val="left"/>
        <w:rPr/>
      </w:pPr>
      <w:r>
        <w:rPr/>
        <w:t> </w:t>
      </w:r>
    </w:p>
    <w:p>
      <w:pPr>
        <w:pStyle w:val="TextBody"/>
        <w:bidi w:val="0"/>
        <w:spacing w:before="0" w:after="0"/>
        <w:jc w:val="center"/>
        <w:rPr/>
      </w:pPr>
      <w:r>
        <w:rPr/>
        <w:drawing>
          <wp:inline distT="0" distB="0" distL="0" distR="0">
            <wp:extent cx="8001000" cy="368554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8001000" cy="3685540"/>
                    </a:xfrm>
                    <a:prstGeom prst="rect">
                      <a:avLst/>
                    </a:prstGeom>
                  </pic:spPr>
                </pic:pic>
              </a:graphicData>
            </a:graphic>
          </wp:inline>
        </w:drawing>
      </w:r>
      <w:r>
        <w:rPr/>
        <w:t xml:space="preserve"> </w:t>
      </w:r>
    </w:p>
    <w:p>
      <w:pPr>
        <w:pStyle w:val="TextBody"/>
        <w:bidi w:val="0"/>
        <w:spacing w:before="360" w:after="0"/>
        <w:jc w:val="left"/>
        <w:rPr>
          <w:rFonts w:ascii="Arial" w:hAnsi="Arial"/>
          <w:b/>
          <w:color w:val="7DB655"/>
          <w:sz w:val="30"/>
        </w:rPr>
      </w:pPr>
      <w:r>
        <w:rPr>
          <w:rFonts w:ascii="Arial" w:hAnsi="Arial"/>
          <w:b/>
          <w:color w:val="7DB655"/>
          <w:sz w:val="30"/>
        </w:rPr>
        <w:t xml:space="preserve">Investment Thesis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71"/>
        <w:gridCol w:w="120"/>
        <w:gridCol w:w="2235"/>
        <w:gridCol w:w="120"/>
        <w:gridCol w:w="6659"/>
      </w:tblGrid>
      <w:tr>
        <w:trPr/>
        <w:tc>
          <w:tcPr>
            <w:tcW w:w="10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59" w:type="dxa"/>
            <w:tcBorders/>
            <w:vAlign w:val="center"/>
          </w:tcPr>
          <w:p>
            <w:pPr>
              <w:pStyle w:val="TableContents"/>
              <w:bidi w:val="0"/>
              <w:spacing w:before="0" w:after="283"/>
              <w:jc w:val="left"/>
              <w:rPr>
                <w:sz w:val="4"/>
                <w:szCs w:val="4"/>
              </w:rPr>
            </w:pPr>
            <w:r>
              <w:rPr>
                <w:sz w:val="4"/>
                <w:szCs w:val="4"/>
              </w:rPr>
            </w:r>
          </w:p>
        </w:tc>
      </w:tr>
      <w:tr>
        <w:trPr/>
        <w:tc>
          <w:tcPr>
            <w:tcW w:w="1071"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438150" cy="29718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438150" cy="297180"/>
                          </a:xfrm>
                          <a:prstGeom prst="rect">
                            <a:avLst/>
                          </a:prstGeom>
                        </pic:spPr>
                      </pic:pic>
                    </a:graphicData>
                  </a:graphic>
                </wp:inline>
              </w:drawing>
            </w:r>
            <w:r>
              <w:rPr/>
              <w:t xml:space="preserve"> </w:t>
            </w:r>
          </w:p>
        </w:tc>
        <w:tc>
          <w:tcPr>
            <w:tcW w:w="120" w:type="dxa"/>
            <w:tcBorders>
              <w:top w:val="single" w:sz="56" w:space="0" w:color="7DB655"/>
            </w:tcBorders>
            <w:tcMar>
              <w:top w:w="28" w:type="dxa"/>
            </w:tcMar>
            <w:vAlign w:val="center"/>
          </w:tcPr>
          <w:p>
            <w:pPr>
              <w:pStyle w:val="TableContents"/>
              <w:bidi w:val="0"/>
              <w:spacing w:before="0" w:after="283"/>
              <w:jc w:val="left"/>
              <w:rPr/>
            </w:pPr>
            <w:r>
              <w:rPr/>
              <w:t>  </w:t>
            </w:r>
          </w:p>
        </w:tc>
        <w:tc>
          <w:tcPr>
            <w:tcW w:w="2235"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 xml:space="preserve">Growth </w:t>
              <w:br/>
              <w:t xml:space="preserve">exceeding </w:t>
              <w:br/>
              <w:t>end markets served</w:t>
            </w:r>
          </w:p>
        </w:tc>
        <w:tc>
          <w:tcPr>
            <w:tcW w:w="120" w:type="dxa"/>
            <w:tcBorders>
              <w:top w:val="single" w:sz="56" w:space="0" w:color="7DB655"/>
            </w:tcBorders>
            <w:tcMar>
              <w:top w:w="28" w:type="dxa"/>
            </w:tcMar>
            <w:vAlign w:val="center"/>
          </w:tcPr>
          <w:p>
            <w:pPr>
              <w:pStyle w:val="TableContents"/>
              <w:bidi w:val="0"/>
              <w:spacing w:before="0" w:after="283"/>
              <w:jc w:val="left"/>
              <w:rPr/>
            </w:pPr>
            <w:r>
              <w:rPr/>
              <w:t>  </w:t>
            </w:r>
          </w:p>
        </w:tc>
        <w:tc>
          <w:tcPr>
            <w:tcW w:w="6659"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 xml:space="preserve">Total revenue CAGR of </w:t>
            </w:r>
            <w:r>
              <w:rPr>
                <w:rFonts w:ascii="Arial" w:hAnsi="Arial"/>
                <w:b/>
                <w:color w:val="191919"/>
                <w:sz w:val="18"/>
              </w:rPr>
              <w:t xml:space="preserve">15.0% </w:t>
            </w:r>
            <w:r>
              <w:rPr>
                <w:rFonts w:ascii="Arial" w:hAnsi="Arial"/>
                <w:color w:val="191919"/>
                <w:sz w:val="18"/>
              </w:rPr>
              <w:t>from FY16 through FY26</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 xml:space="preserve">Organic revenue CAGR of </w:t>
            </w:r>
            <w:r>
              <w:rPr>
                <w:rFonts w:ascii="Arial" w:hAnsi="Arial"/>
                <w:b/>
                <w:color w:val="191919"/>
                <w:sz w:val="18"/>
              </w:rPr>
              <w:t xml:space="preserve">8.3% </w:t>
            </w:r>
            <w:r>
              <w:rPr>
                <w:rFonts w:ascii="Arial" w:hAnsi="Arial"/>
                <w:color w:val="191919"/>
                <w:sz w:val="18"/>
              </w:rPr>
              <w:t>from FY16 through FY26</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 xml:space="preserve">Total adjusted EBITDA CAGR of </w:t>
            </w:r>
            <w:r>
              <w:rPr>
                <w:rFonts w:ascii="Arial" w:hAnsi="Arial"/>
                <w:b/>
                <w:color w:val="191919"/>
                <w:sz w:val="18"/>
              </w:rPr>
              <w:t>16.7%</w:t>
            </w:r>
            <w:r>
              <w:rPr>
                <w:rFonts w:ascii="Arial" w:hAnsi="Arial"/>
                <w:color w:val="191919"/>
                <w:sz w:val="18"/>
              </w:rPr>
              <w:t xml:space="preserve"> from FY16 through FY26</w:t>
            </w:r>
          </w:p>
          <w:p>
            <w:pPr>
              <w:pStyle w:val="TableContents"/>
              <w:bidi w:val="0"/>
              <w:spacing w:before="0" w:after="20"/>
              <w:jc w:val="left"/>
              <w:rPr/>
            </w:pPr>
            <w:r>
              <w:rPr/>
              <w:t> </w:t>
            </w:r>
          </w:p>
        </w:tc>
      </w:tr>
      <w:tr>
        <w:trPr/>
        <w:tc>
          <w:tcPr>
            <w:tcW w:w="1071"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457200" cy="46672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457200" cy="466725"/>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223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Robust</w:t>
            </w:r>
          </w:p>
          <w:p>
            <w:pPr>
              <w:pStyle w:val="TableContents"/>
              <w:bidi w:val="0"/>
              <w:spacing w:before="0" w:after="0"/>
              <w:jc w:val="left"/>
              <w:rPr>
                <w:rFonts w:ascii="Arial" w:hAnsi="Arial"/>
                <w:b/>
                <w:color w:val="191919"/>
                <w:sz w:val="18"/>
              </w:rPr>
            </w:pPr>
            <w:r>
              <w:rPr>
                <w:rFonts w:ascii="Arial" w:hAnsi="Arial"/>
                <w:b/>
                <w:color w:val="191919"/>
                <w:sz w:val="18"/>
              </w:rPr>
              <w:t>margin</w:t>
            </w:r>
          </w:p>
          <w:p>
            <w:pPr>
              <w:pStyle w:val="TableContents"/>
              <w:bidi w:val="0"/>
              <w:spacing w:before="0" w:after="20"/>
              <w:jc w:val="left"/>
              <w:rPr>
                <w:rFonts w:ascii="Arial" w:hAnsi="Arial"/>
                <w:b/>
                <w:color w:val="191919"/>
                <w:sz w:val="18"/>
              </w:rPr>
            </w:pPr>
            <w:r>
              <w:rPr>
                <w:rFonts w:ascii="Arial" w:hAnsi="Arial"/>
                <w:b/>
                <w:color w:val="191919"/>
                <w:sz w:val="18"/>
              </w:rPr>
              <w:t>profile</w:t>
            </w:r>
          </w:p>
        </w:tc>
        <w:tc>
          <w:tcPr>
            <w:tcW w:w="120" w:type="dxa"/>
            <w:tcBorders/>
            <w:shd w:fill="EDEDED" w:val="clear"/>
            <w:vAlign w:val="center"/>
          </w:tcPr>
          <w:p>
            <w:pPr>
              <w:pStyle w:val="TableContents"/>
              <w:bidi w:val="0"/>
              <w:spacing w:before="0" w:after="283"/>
              <w:jc w:val="left"/>
              <w:rPr/>
            </w:pPr>
            <w:r>
              <w:rPr/>
              <w:t>  </w:t>
            </w:r>
          </w:p>
        </w:tc>
        <w:tc>
          <w:tcPr>
            <w:tcW w:w="6659"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b/>
                <w:color w:val="191919"/>
                <w:sz w:val="18"/>
              </w:rPr>
              <w:t>43.9%</w:t>
            </w:r>
            <w:r>
              <w:rPr>
                <w:rFonts w:ascii="Arial" w:hAnsi="Arial"/>
                <w:color w:val="191919"/>
                <w:sz w:val="18"/>
              </w:rPr>
              <w:t xml:space="preserve"> adjusted Gross Profit Margin annual average FY16 through FY26</w:t>
            </w:r>
          </w:p>
          <w:p>
            <w:pPr>
              <w:pStyle w:val="TableContents"/>
              <w:bidi w:val="0"/>
              <w:spacing w:before="0" w:after="0"/>
              <w:jc w:val="left"/>
              <w:rPr>
                <w:color w:val="191919"/>
              </w:rPr>
            </w:pPr>
            <w:r>
              <w:rPr>
                <w:color w:val="0A7DAC"/>
              </w:rPr>
              <w:t>•</w:t>
            </w:r>
            <w:r>
              <w:rPr>
                <w:color w:val="191919"/>
              </w:rPr>
              <w:t> </w:t>
            </w:r>
            <w:r>
              <w:rPr>
                <w:rFonts w:ascii="Arial" w:hAnsi="Arial"/>
                <w:b/>
                <w:color w:val="191919"/>
                <w:sz w:val="18"/>
              </w:rPr>
              <w:t>22.9%</w:t>
            </w:r>
            <w:r>
              <w:rPr>
                <w:rFonts w:ascii="Arial" w:hAnsi="Arial"/>
                <w:color w:val="191919"/>
                <w:sz w:val="18"/>
              </w:rPr>
              <w:t xml:space="preserve"> adjusted EBITDA Margin annual average FY16 through FY26</w:t>
            </w:r>
          </w:p>
          <w:p>
            <w:pPr>
              <w:pStyle w:val="TableContents"/>
              <w:bidi w:val="0"/>
              <w:spacing w:before="0" w:after="20"/>
              <w:jc w:val="left"/>
              <w:rPr/>
            </w:pPr>
            <w:r>
              <w:rPr/>
              <w:t> </w:t>
            </w:r>
          </w:p>
        </w:tc>
      </w:tr>
      <w:tr>
        <w:trPr/>
        <w:tc>
          <w:tcPr>
            <w:tcW w:w="1071"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414655" cy="42799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414655" cy="4279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23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Strong financial position</w:t>
            </w:r>
          </w:p>
        </w:tc>
        <w:tc>
          <w:tcPr>
            <w:tcW w:w="120" w:type="dxa"/>
            <w:tcBorders/>
            <w:vAlign w:val="center"/>
          </w:tcPr>
          <w:p>
            <w:pPr>
              <w:pStyle w:val="TableContents"/>
              <w:bidi w:val="0"/>
              <w:spacing w:before="0" w:after="283"/>
              <w:jc w:val="left"/>
              <w:rPr/>
            </w:pPr>
            <w:r>
              <w:rPr/>
              <w:t>  </w:t>
            </w:r>
          </w:p>
        </w:tc>
        <w:tc>
          <w:tcPr>
            <w:tcW w:w="6659" w:type="dxa"/>
            <w:tcBorders/>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b/>
                <w:color w:val="191919"/>
                <w:sz w:val="18"/>
              </w:rPr>
              <w:t>$420M</w:t>
            </w:r>
            <w:r>
              <w:rPr>
                <w:rFonts w:ascii="Arial" w:hAnsi="Arial"/>
                <w:color w:val="191919"/>
                <w:sz w:val="18"/>
              </w:rPr>
              <w:t xml:space="preserve"> available on our </w:t>
            </w:r>
            <w:r>
              <w:rPr>
                <w:rFonts w:ascii="Arial" w:hAnsi="Arial"/>
                <w:b/>
                <w:color w:val="191919"/>
                <w:sz w:val="18"/>
              </w:rPr>
              <w:t>$700M</w:t>
            </w:r>
            <w:r>
              <w:rPr>
                <w:rFonts w:ascii="Arial" w:hAnsi="Arial"/>
                <w:color w:val="191919"/>
                <w:sz w:val="18"/>
              </w:rPr>
              <w:t xml:space="preserve"> revolving credit facility, and </w:t>
            </w:r>
            <w:r>
              <w:rPr>
                <w:rFonts w:ascii="Arial" w:hAnsi="Arial"/>
                <w:b/>
                <w:color w:val="191919"/>
                <w:sz w:val="18"/>
              </w:rPr>
              <w:t>$34M</w:t>
            </w:r>
            <w:r>
              <w:rPr>
                <w:rFonts w:ascii="Arial" w:hAnsi="Arial"/>
                <w:color w:val="191919"/>
                <w:sz w:val="18"/>
              </w:rPr>
              <w:t xml:space="preserve"> cash on hand</w:t>
            </w:r>
          </w:p>
          <w:p>
            <w:pPr>
              <w:pStyle w:val="TableContents"/>
              <w:bidi w:val="0"/>
              <w:spacing w:before="0" w:after="0"/>
              <w:jc w:val="left"/>
              <w:rPr>
                <w:color w:val="191919"/>
              </w:rPr>
            </w:pPr>
            <w:r>
              <w:rPr>
                <w:color w:val="0A7DAC"/>
              </w:rPr>
              <w:t>•</w:t>
            </w:r>
            <w:r>
              <w:rPr>
                <w:color w:val="191919"/>
              </w:rPr>
              <w:t> </w:t>
            </w:r>
            <w:r>
              <w:rPr>
                <w:rFonts w:ascii="Arial" w:hAnsi="Arial"/>
                <w:b/>
                <w:color w:val="191919"/>
                <w:sz w:val="18"/>
              </w:rPr>
              <w:t>$270M</w:t>
            </w:r>
            <w:r>
              <w:rPr>
                <w:rFonts w:ascii="Arial" w:hAnsi="Arial"/>
                <w:color w:val="191919"/>
                <w:sz w:val="18"/>
              </w:rPr>
              <w:t xml:space="preserve"> FY26 adjusted EBITDA, and </w:t>
            </w:r>
            <w:r>
              <w:rPr>
                <w:rFonts w:ascii="Arial" w:hAnsi="Arial"/>
                <w:b/>
                <w:color w:val="191919"/>
                <w:sz w:val="18"/>
              </w:rPr>
              <w:t>24.9%</w:t>
            </w:r>
            <w:r>
              <w:rPr>
                <w:rFonts w:ascii="Arial" w:hAnsi="Arial"/>
                <w:color w:val="191919"/>
                <w:sz w:val="18"/>
              </w:rPr>
              <w:t xml:space="preserve"> adjusted EBITDA margin as a percent of revenue</w:t>
            </w:r>
          </w:p>
          <w:p>
            <w:pPr>
              <w:pStyle w:val="TableContents"/>
              <w:bidi w:val="0"/>
              <w:spacing w:before="0" w:after="20"/>
              <w:jc w:val="left"/>
              <w:rPr/>
            </w:pPr>
            <w:r>
              <w:rPr/>
              <w:t> </w:t>
            </w:r>
          </w:p>
        </w:tc>
      </w:tr>
      <w:tr>
        <w:trPr/>
        <w:tc>
          <w:tcPr>
            <w:tcW w:w="1071"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523875" cy="4572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523875" cy="457200"/>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223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8"/>
              </w:rPr>
            </w:pPr>
            <w:r>
              <w:rPr>
                <w:rFonts w:ascii="Arial" w:hAnsi="Arial"/>
                <w:b/>
                <w:color w:val="191919"/>
                <w:sz w:val="18"/>
              </w:rPr>
              <w:t>Experienced leadership team</w:t>
            </w:r>
          </w:p>
        </w:tc>
        <w:tc>
          <w:tcPr>
            <w:tcW w:w="120" w:type="dxa"/>
            <w:tcBorders/>
            <w:shd w:fill="EDEDED" w:val="clear"/>
            <w:vAlign w:val="center"/>
          </w:tcPr>
          <w:p>
            <w:pPr>
              <w:pStyle w:val="TableContents"/>
              <w:bidi w:val="0"/>
              <w:spacing w:before="0" w:after="283"/>
              <w:jc w:val="left"/>
              <w:rPr/>
            </w:pPr>
            <w:r>
              <w:rPr/>
              <w:t>  </w:t>
            </w:r>
          </w:p>
        </w:tc>
        <w:tc>
          <w:tcPr>
            <w:tcW w:w="6659"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Dedicated to enhancing shareholder value</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Committed to exemplifying CSW’s culture and values</w:t>
            </w:r>
          </w:p>
          <w:p>
            <w:pPr>
              <w:pStyle w:val="TableContents"/>
              <w:bidi w:val="0"/>
              <w:spacing w:before="0" w:after="20"/>
              <w:jc w:val="left"/>
              <w:rPr/>
            </w:pPr>
            <w:r>
              <w:rPr/>
              <w:t> </w:t>
            </w:r>
          </w:p>
        </w:tc>
      </w:tr>
      <w:tr>
        <w:trPr/>
        <w:tc>
          <w:tcPr>
            <w:tcW w:w="1071" w:type="dxa"/>
            <w:tcBorders>
              <w:bottom w:val="single" w:sz="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401955" cy="40195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401955" cy="401955"/>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2235" w:type="dxa"/>
            <w:tcBorders>
              <w:bottom w:val="single" w:sz="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Driving</w:t>
            </w:r>
          </w:p>
          <w:p>
            <w:pPr>
              <w:pStyle w:val="TableContents"/>
              <w:bidi w:val="0"/>
              <w:spacing w:before="0" w:after="0"/>
              <w:jc w:val="left"/>
              <w:rPr>
                <w:rFonts w:ascii="Arial" w:hAnsi="Arial"/>
                <w:b/>
                <w:color w:val="191919"/>
                <w:sz w:val="18"/>
              </w:rPr>
            </w:pPr>
            <w:r>
              <w:rPr>
                <w:rFonts w:ascii="Arial" w:hAnsi="Arial"/>
                <w:b/>
                <w:color w:val="191919"/>
                <w:sz w:val="18"/>
              </w:rPr>
              <w:t>long-term shareholder</w:t>
            </w:r>
          </w:p>
          <w:p>
            <w:pPr>
              <w:pStyle w:val="TableContents"/>
              <w:bidi w:val="0"/>
              <w:spacing w:before="0" w:after="20"/>
              <w:jc w:val="left"/>
              <w:rPr>
                <w:rFonts w:ascii="Arial" w:hAnsi="Arial"/>
                <w:b/>
                <w:color w:val="191919"/>
                <w:sz w:val="18"/>
              </w:rPr>
            </w:pPr>
            <w:r>
              <w:rPr>
                <w:rFonts w:ascii="Arial" w:hAnsi="Arial"/>
                <w:b/>
                <w:color w:val="191919"/>
                <w:sz w:val="18"/>
              </w:rPr>
              <w:t>value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659" w:type="dxa"/>
            <w:tcBorders>
              <w:bottom w:val="single" w:sz="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b/>
                <w:color w:val="191919"/>
                <w:sz w:val="18"/>
              </w:rPr>
              <w:t>~$1.7B</w:t>
            </w:r>
            <w:r>
              <w:rPr>
                <w:rFonts w:ascii="Arial" w:hAnsi="Arial"/>
                <w:color w:val="191919"/>
                <w:sz w:val="18"/>
              </w:rPr>
              <w:t xml:space="preserve"> cumulative investment in acquisitions completed from FY16 to date</w:t>
            </w:r>
          </w:p>
          <w:p>
            <w:pPr>
              <w:pStyle w:val="TableContents"/>
              <w:bidi w:val="0"/>
              <w:spacing w:before="0" w:after="20"/>
              <w:jc w:val="left"/>
              <w:rPr>
                <w:color w:val="191919"/>
              </w:rPr>
            </w:pPr>
            <w:r>
              <w:rPr>
                <w:color w:val="0A7DAC"/>
              </w:rPr>
              <w:t>•</w:t>
            </w:r>
            <w:r>
              <w:rPr>
                <w:color w:val="191919"/>
              </w:rPr>
              <w:t> </w:t>
            </w:r>
            <w:r>
              <w:rPr>
                <w:rFonts w:ascii="Arial" w:hAnsi="Arial"/>
                <w:b/>
                <w:color w:val="191919"/>
                <w:sz w:val="18"/>
              </w:rPr>
              <w:t>~$370M</w:t>
            </w:r>
            <w:r>
              <w:rPr>
                <w:rFonts w:ascii="Arial" w:hAnsi="Arial"/>
                <w:color w:val="191919"/>
                <w:sz w:val="18"/>
              </w:rPr>
              <w:t xml:space="preserve"> cash returned to shareholders since 3Q18, in the form of dividends and share repurchases</w:t>
            </w:r>
          </w:p>
        </w:tc>
      </w:tr>
    </w:tbl>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b/>
              </w:rPr>
            </w:pPr>
            <w:r>
              <w:rPr>
                <w:b/>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Our Company </w:t>
      </w:r>
    </w:p>
    <w:p>
      <w:pPr>
        <w:pStyle w:val="TextBody"/>
        <w:bidi w:val="0"/>
        <w:spacing w:before="0" w:after="0"/>
        <w:jc w:val="left"/>
        <w:rPr>
          <w:rFonts w:ascii="Arial" w:hAnsi="Arial"/>
          <w:sz w:val="16"/>
        </w:rPr>
      </w:pPr>
      <w:r>
        <w:rPr>
          <w:rFonts w:ascii="Arial" w:hAnsi="Arial"/>
          <w:sz w:val="16"/>
        </w:rPr>
        <w:t xml:space="preserve">Fiscal 2026 Financial Highlights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r>
        <w:rPr>
          <w:rFonts w:ascii="Arial" w:hAnsi="Arial"/>
          <w:b/>
          <w:color w:val="7DB655"/>
          <w:sz w:val="30"/>
        </w:rPr>
        <w:t xml:space="preserve">Fiscal 2026 Financial Highlights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3110230" cy="2255520"/>
                <wp:effectExtent l="0" t="0" r="0" b="0"/>
                <wp:wrapSquare wrapText="right"/>
                <wp:docPr id="31" name="Frame3"/>
                <a:graphic xmlns:a="http://schemas.openxmlformats.org/drawingml/2006/main">
                  <a:graphicData uri="http://schemas.microsoft.com/office/word/2010/wordprocessingShape">
                    <wps:wsp>
                      <wps:cNvSpPr txBox="1"/>
                      <wps:spPr>
                        <a:xfrm>
                          <a:off x="0" y="0"/>
                          <a:ext cx="3110230" cy="225552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Fiscal 2026 was a year of significant change for our organization – with intentionality, we are a meaningfully larger and more diversified company than we were last year. Driven by our disciplined capital allocation philosophy, and facilitated by our strong balance sheet, we invested in multiple high-quality growth opportunities, deploying over $1.0 billion of acquisition capital in consummating five highly synergistic, cash-flow accretive acquisitions. This included MARS Parts and Aspen Manufacturing within our Contractor Solutions segment. </w:t>
                            </w:r>
                          </w:p>
                          <w:p>
                            <w:pPr>
                              <w:pStyle w:val="TextBody"/>
                              <w:bidi w:val="0"/>
                              <w:spacing w:before="240" w:after="0"/>
                              <w:jc w:val="left"/>
                              <w:rPr>
                                <w:rFonts w:ascii="Arial" w:hAnsi="Arial"/>
                                <w:color w:val="191919"/>
                                <w:sz w:val="18"/>
                              </w:rPr>
                            </w:pPr>
                            <w:r>
                              <w:rPr>
                                <w:rFonts w:ascii="Arial" w:hAnsi="Arial"/>
                                <w:color w:val="191919"/>
                                <w:sz w:val="18"/>
                              </w:rPr>
                              <w:t xml:space="preserve">Throughout the year, we remained true to our stated approach of driving sustainable growth and long-term shareholder value via a strategy that combines organic and inorganic growth, which once again enabled us to deliver record results in fiscal 2026. These results were achieved against a backdrop of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Fiscal 2026 was a year of significant change for our organization – with intentionality, we are a meaningfully larger and more diversified company than we were last year. Driven by our disciplined capital allocation philosophy, and facilitated by our strong balance sheet, we invested in multiple high-quality growth opportunities, deploying over $1.0 billion of acquisition capital in consummating five highly synergistic, cash-flow accretive acquisitions. This included MARS Parts and Aspen Manufacturing within our Contractor Solutions segment. </w:t>
                      </w:r>
                    </w:p>
                    <w:p>
                      <w:pPr>
                        <w:pStyle w:val="TextBody"/>
                        <w:bidi w:val="0"/>
                        <w:spacing w:before="240" w:after="0"/>
                        <w:jc w:val="left"/>
                        <w:rPr>
                          <w:rFonts w:ascii="Arial" w:hAnsi="Arial"/>
                          <w:color w:val="191919"/>
                          <w:sz w:val="18"/>
                        </w:rPr>
                      </w:pPr>
                      <w:r>
                        <w:rPr>
                          <w:rFonts w:ascii="Arial" w:hAnsi="Arial"/>
                          <w:color w:val="191919"/>
                          <w:sz w:val="18"/>
                        </w:rPr>
                        <w:t xml:space="preserve">Throughout the year, we remained true to our stated approach of driving sustainable growth and long-term shareholder value via a strategy that combines organic and inorganic growth, which once again enabled us to deliver record results in fiscal 2026. These results were achieved against a backdrop of </w:t>
                      </w:r>
                    </w:p>
                  </w:txbxContent>
                </v:textbox>
                <w10:wrap type="square" side="right"/>
              </v:rect>
            </w:pict>
          </mc:Fallback>
        </mc:AlternateConten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3175000" cy="2255520"/>
                <wp:effectExtent l="0" t="0" r="0" b="0"/>
                <wp:wrapSquare wrapText="right"/>
                <wp:docPr id="32" name="Frame4"/>
                <a:graphic xmlns:a="http://schemas.openxmlformats.org/drawingml/2006/main">
                  <a:graphicData uri="http://schemas.microsoft.com/office/word/2010/wordprocessingShape">
                    <wps:wsp>
                      <wps:cNvSpPr txBox="1"/>
                      <wps:spPr>
                        <a:xfrm>
                          <a:off x="0" y="0"/>
                          <a:ext cx="3175000" cy="225552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challenged end markets driven by multiple factors, including rapidly changing foreign policy, the imposition of new and increased tariffs, and increased macroeconomic volatility, ultimately surpassing the impressive results of the prior year. We also returned almost $150 million of capital to shareholders through share repurchases and dividends, demonstrating our continued commitment to long-term value creation and utilizing all capital allocation avenues available to us. </w:t>
                            </w:r>
                          </w:p>
                          <w:p>
                            <w:pPr>
                              <w:pStyle w:val="TextBody"/>
                              <w:bidi w:val="0"/>
                              <w:spacing w:before="240" w:after="0"/>
                              <w:jc w:val="left"/>
                              <w:rPr>
                                <w:rFonts w:ascii="Arial" w:hAnsi="Arial"/>
                                <w:color w:val="191919"/>
                                <w:sz w:val="18"/>
                              </w:rPr>
                            </w:pPr>
                            <w:r>
                              <w:rPr>
                                <w:rFonts w:ascii="Arial" w:hAnsi="Arial"/>
                                <w:color w:val="191919"/>
                                <w:sz w:val="18"/>
                              </w:rPr>
                              <w:t xml:space="preserve">Perhaps most importantly, we achieved all of this while remaining true to our distinctive employee-centric culture. We remain steadfast in our commitment to fostering a culture of respect where we focus on recruiting and retaining great talent, offering rewarding careers, and recognizing team members who excel while providing the opportunity for a safe, secure, and dignified retirement.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7.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challenged end markets driven by multiple factors, including rapidly changing foreign policy, the imposition of new and increased tariffs, and increased macroeconomic volatility, ultimately surpassing the impressive results of the prior year. We also returned almost $150 million of capital to shareholders through share repurchases and dividends, demonstrating our continued commitment to long-term value creation and utilizing all capital allocation avenues available to us. </w:t>
                      </w:r>
                    </w:p>
                    <w:p>
                      <w:pPr>
                        <w:pStyle w:val="TextBody"/>
                        <w:bidi w:val="0"/>
                        <w:spacing w:before="240" w:after="0"/>
                        <w:jc w:val="left"/>
                        <w:rPr>
                          <w:rFonts w:ascii="Arial" w:hAnsi="Arial"/>
                          <w:color w:val="191919"/>
                          <w:sz w:val="18"/>
                        </w:rPr>
                      </w:pPr>
                      <w:r>
                        <w:rPr>
                          <w:rFonts w:ascii="Arial" w:hAnsi="Arial"/>
                          <w:color w:val="191919"/>
                          <w:sz w:val="18"/>
                        </w:rPr>
                        <w:t xml:space="preserve">Perhaps most importantly, we achieved all of this while remaining true to our distinctive employee-centric culture. We remain steadfast in our commitment to fostering a culture of respect where we focus on recruiting and retaining great talent, offering rewarding careers, and recognizing team members who excel while providing the opportunity for a safe, secure, and dignified retirement.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Financial and Operational Performance </w:t>
      </w:r>
    </w:p>
    <w:p>
      <w:pPr>
        <w:pStyle w:val="TextBody"/>
        <w:bidi w:val="0"/>
        <w:spacing w:before="0" w:after="0"/>
        <w:jc w:val="left"/>
        <w:rPr/>
      </w:pPr>
      <w:r>
        <w:rPr/>
        <w:t> </w:t>
      </w:r>
    </w:p>
    <w:tbl>
      <w:tblPr>
        <w:tblW w:w="10205" w:type="dxa"/>
        <w:jc w:val="left"/>
        <w:tblInd w:w="0" w:type="dxa"/>
        <w:shd w:fill="EDEDED" w:val="clear"/>
        <w:tblLayout w:type="fixed"/>
        <w:tblCellMar>
          <w:top w:w="0" w:type="dxa"/>
          <w:left w:w="0" w:type="dxa"/>
          <w:bottom w:w="0" w:type="dxa"/>
          <w:right w:w="0" w:type="dxa"/>
        </w:tblCellMar>
      </w:tblPr>
      <w:tblGrid>
        <w:gridCol w:w="48"/>
        <w:gridCol w:w="76"/>
        <w:gridCol w:w="2477"/>
        <w:gridCol w:w="76"/>
        <w:gridCol w:w="2509"/>
        <w:gridCol w:w="154"/>
        <w:gridCol w:w="29"/>
        <w:gridCol w:w="76"/>
        <w:gridCol w:w="4656"/>
        <w:gridCol w:w="60"/>
        <w:gridCol w:w="44"/>
      </w:tblGrid>
      <w:tr>
        <w:trPr/>
        <w:tc>
          <w:tcPr>
            <w:tcW w:w="48"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sz w:val="4"/>
                <w:szCs w:val="4"/>
              </w:rPr>
            </w:pPr>
            <w:r>
              <w:rPr>
                <w:sz w:val="4"/>
                <w:szCs w:val="4"/>
              </w:rPr>
            </w:r>
          </w:p>
        </w:tc>
        <w:tc>
          <w:tcPr>
            <w:tcW w:w="2477"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sz w:val="4"/>
                <w:szCs w:val="4"/>
              </w:rPr>
            </w:pPr>
            <w:r>
              <w:rPr>
                <w:sz w:val="4"/>
                <w:szCs w:val="4"/>
              </w:rPr>
            </w:r>
          </w:p>
        </w:tc>
        <w:tc>
          <w:tcPr>
            <w:tcW w:w="2509" w:type="dxa"/>
            <w:tcBorders/>
            <w:shd w:fill="EDEDED" w:val="clear"/>
            <w:vAlign w:val="center"/>
          </w:tcPr>
          <w:p>
            <w:pPr>
              <w:pStyle w:val="TableContents"/>
              <w:bidi w:val="0"/>
              <w:spacing w:before="0" w:after="283"/>
              <w:jc w:val="left"/>
              <w:rPr>
                <w:sz w:val="4"/>
                <w:szCs w:val="4"/>
              </w:rPr>
            </w:pPr>
            <w:r>
              <w:rPr>
                <w:sz w:val="4"/>
                <w:szCs w:val="4"/>
              </w:rPr>
            </w:r>
          </w:p>
        </w:tc>
        <w:tc>
          <w:tcPr>
            <w:tcW w:w="154" w:type="dxa"/>
            <w:tcBorders/>
            <w:shd w:fill="EDEDED" w:val="clear"/>
            <w:vAlign w:val="center"/>
          </w:tcPr>
          <w:p>
            <w:pPr>
              <w:pStyle w:val="TableContents"/>
              <w:bidi w:val="0"/>
              <w:spacing w:before="0" w:after="283"/>
              <w:jc w:val="left"/>
              <w:rPr>
                <w:sz w:val="4"/>
                <w:szCs w:val="4"/>
              </w:rPr>
            </w:pPr>
            <w:r>
              <w:rPr>
                <w:sz w:val="4"/>
                <w:szCs w:val="4"/>
              </w:rPr>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sz w:val="4"/>
                <w:szCs w:val="4"/>
              </w:rPr>
            </w:pPr>
            <w:r>
              <w:rPr>
                <w:sz w:val="4"/>
                <w:szCs w:val="4"/>
              </w:rPr>
            </w:r>
          </w:p>
        </w:tc>
        <w:tc>
          <w:tcPr>
            <w:tcW w:w="4656"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44" w:type="dxa"/>
            <w:tcBorders/>
            <w:shd w:fill="EDEDED" w:val="clear"/>
            <w:vAlign w:val="center"/>
          </w:tcPr>
          <w:p>
            <w:pPr>
              <w:pStyle w:val="TableContents"/>
              <w:bidi w:val="0"/>
              <w:spacing w:before="0" w:after="283"/>
              <w:jc w:val="left"/>
              <w:rPr>
                <w:sz w:val="4"/>
                <w:szCs w:val="4"/>
              </w:rPr>
            </w:pPr>
            <w:r>
              <w:rPr>
                <w:sz w:val="4"/>
                <w:szCs w:val="4"/>
              </w:rPr>
            </w:r>
          </w:p>
        </w:tc>
      </w:tr>
      <w:tr>
        <w:trPr/>
        <w:tc>
          <w:tcPr>
            <w:tcW w:w="48"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pPr>
            <w:r>
              <w:rPr/>
              <w:t> </w:t>
            </w:r>
          </w:p>
        </w:tc>
        <w:tc>
          <w:tcPr>
            <w:tcW w:w="9977" w:type="dxa"/>
            <w:gridSpan w:val="7"/>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We achieved the following financial results in fiscal 2026 (comparisons to fiscal 2025):</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4" w:type="dxa"/>
            <w:tcBorders/>
            <w:shd w:fill="EDEDED" w:val="clear"/>
            <w:vAlign w:val="center"/>
          </w:tcPr>
          <w:p>
            <w:pPr>
              <w:pStyle w:val="TableContents"/>
              <w:bidi w:val="0"/>
              <w:spacing w:before="0" w:after="283"/>
              <w:jc w:val="left"/>
              <w:rPr>
                <w:sz w:val="4"/>
                <w:szCs w:val="4"/>
              </w:rPr>
            </w:pPr>
            <w:r>
              <w:rPr>
                <w:sz w:val="4"/>
                <w:szCs w:val="4"/>
              </w:rPr>
            </w:r>
          </w:p>
        </w:tc>
      </w:tr>
      <w:tr>
        <w:trPr/>
        <w:tc>
          <w:tcPr>
            <w:tcW w:w="48"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pPr>
            <w:r>
              <w:rPr/>
              <w:t> </w:t>
            </w:r>
          </w:p>
        </w:tc>
        <w:tc>
          <w:tcPr>
            <w:tcW w:w="2477"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Revenues</w:t>
            </w:r>
          </w:p>
          <w:p>
            <w:pPr>
              <w:pStyle w:val="TableContents"/>
              <w:bidi w:val="0"/>
              <w:spacing w:before="0" w:after="0"/>
              <w:jc w:val="center"/>
              <w:rPr>
                <w:rFonts w:ascii="Arial" w:hAnsi="Arial"/>
                <w:color w:val="7DB655"/>
                <w:sz w:val="63"/>
              </w:rPr>
            </w:pPr>
            <w:r>
              <w:rPr>
                <w:rFonts w:ascii="Arial" w:hAnsi="Arial"/>
                <w:color w:val="7DB655"/>
                <w:sz w:val="63"/>
              </w:rPr>
              <w:t>$1.1b</w:t>
            </w:r>
          </w:p>
          <w:p>
            <w:pPr>
              <w:pStyle w:val="TableContents"/>
              <w:bidi w:val="0"/>
              <w:spacing w:before="0" w:after="0"/>
              <w:jc w:val="center"/>
              <w:rPr>
                <w:rFonts w:ascii="Arial" w:hAnsi="Arial"/>
                <w:b/>
                <w:color w:val="7DB655"/>
                <w:sz w:val="24"/>
              </w:rPr>
            </w:pPr>
            <w:r>
              <w:rPr>
                <w:rFonts w:ascii="Arial" w:hAnsi="Arial"/>
                <w:b/>
                <w:color w:val="7DB655"/>
                <w:sz w:val="24"/>
              </w:rPr>
              <w:t>+23.2%</w:t>
            </w:r>
          </w:p>
          <w:p>
            <w:pPr>
              <w:pStyle w:val="TableContents"/>
              <w:bidi w:val="0"/>
              <w:spacing w:before="0" w:after="20"/>
              <w:jc w:val="left"/>
              <w:rPr/>
            </w:pPr>
            <w:r>
              <w:rPr/>
              <w:t> </w:t>
            </w:r>
          </w:p>
        </w:tc>
        <w:tc>
          <w:tcPr>
            <w:tcW w:w="76" w:type="dxa"/>
            <w:tcBorders/>
            <w:shd w:fill="EDEDED" w:val="clear"/>
            <w:vAlign w:val="center"/>
          </w:tcPr>
          <w:p>
            <w:pPr>
              <w:pStyle w:val="TableContents"/>
              <w:bidi w:val="0"/>
              <w:spacing w:before="0" w:after="283"/>
              <w:jc w:val="left"/>
              <w:rPr/>
            </w:pPr>
            <w:r>
              <w:rPr/>
              <w:t> </w:t>
            </w:r>
          </w:p>
        </w:tc>
        <w:tc>
          <w:tcPr>
            <w:tcW w:w="2509" w:type="dxa"/>
            <w:tcBorders/>
            <w:shd w:fill="EDEDE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Adjusted</w:t>
            </w:r>
          </w:p>
          <w:p>
            <w:pPr>
              <w:pStyle w:val="TableContents"/>
              <w:bidi w:val="0"/>
              <w:spacing w:before="0" w:after="0"/>
              <w:jc w:val="center"/>
              <w:rPr>
                <w:rFonts w:ascii="Arial" w:hAnsi="Arial"/>
                <w:b/>
                <w:sz w:val="20"/>
              </w:rPr>
            </w:pPr>
            <w:r>
              <w:rPr>
                <w:rFonts w:ascii="Arial" w:hAnsi="Arial"/>
                <w:b/>
                <w:sz w:val="20"/>
              </w:rPr>
              <w:t>EBITDA*</w:t>
            </w:r>
          </w:p>
          <w:p>
            <w:pPr>
              <w:pStyle w:val="TableContents"/>
              <w:bidi w:val="0"/>
              <w:spacing w:before="0" w:after="0"/>
              <w:jc w:val="center"/>
              <w:rPr>
                <w:rFonts w:ascii="Arial" w:hAnsi="Arial"/>
                <w:color w:val="7DB655"/>
                <w:sz w:val="63"/>
              </w:rPr>
            </w:pPr>
            <w:r>
              <w:rPr>
                <w:rFonts w:ascii="Arial" w:hAnsi="Arial"/>
                <w:color w:val="7DB655"/>
                <w:sz w:val="63"/>
              </w:rPr>
              <w:t>$270m</w:t>
            </w:r>
          </w:p>
          <w:p>
            <w:pPr>
              <w:pStyle w:val="TableContents"/>
              <w:bidi w:val="0"/>
              <w:spacing w:before="0" w:after="0"/>
              <w:jc w:val="center"/>
              <w:rPr>
                <w:rFonts w:ascii="Arial" w:hAnsi="Arial"/>
                <w:b/>
                <w:color w:val="7DB655"/>
                <w:sz w:val="24"/>
              </w:rPr>
            </w:pPr>
            <w:r>
              <w:rPr>
                <w:rFonts w:ascii="Arial" w:hAnsi="Arial"/>
                <w:b/>
                <w:color w:val="7DB655"/>
                <w:sz w:val="24"/>
              </w:rPr>
              <w:t>+18.3%</w:t>
            </w:r>
          </w:p>
          <w:p>
            <w:pPr>
              <w:pStyle w:val="TableContents"/>
              <w:bidi w:val="0"/>
              <w:spacing w:before="0" w:after="20"/>
              <w:jc w:val="left"/>
              <w:rPr/>
            </w:pPr>
            <w:r>
              <w:rPr/>
              <w:t> </w:t>
            </w:r>
          </w:p>
        </w:tc>
        <w:tc>
          <w:tcPr>
            <w:tcW w:w="154" w:type="dxa"/>
            <w:tcBorders/>
            <w:shd w:fill="EDEDED" w:val="clear"/>
            <w:vAlign w:val="center"/>
          </w:tcPr>
          <w:p>
            <w:pPr>
              <w:pStyle w:val="TableContents"/>
              <w:bidi w:val="0"/>
              <w:spacing w:before="0" w:after="283"/>
              <w:jc w:val="left"/>
              <w:rPr/>
            </w:pPr>
            <w:r>
              <w:rPr/>
              <w:t>  </w:t>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76" w:type="dxa"/>
            <w:vMerge w:val="restart"/>
            <w:tcBorders/>
            <w:shd w:fill="EDEDED" w:val="clear"/>
            <w:vAlign w:val="center"/>
          </w:tcPr>
          <w:p>
            <w:pPr>
              <w:pStyle w:val="TableContents"/>
              <w:bidi w:val="0"/>
              <w:spacing w:before="0" w:after="283"/>
              <w:jc w:val="left"/>
              <w:rPr/>
            </w:pPr>
            <w:r>
              <w:rPr/>
              <w:t> </w:t>
            </w:r>
          </w:p>
        </w:tc>
        <w:tc>
          <w:tcPr>
            <w:tcW w:w="4656" w:type="dxa"/>
            <w:vMerge w:val="restart"/>
            <w:tcBorders/>
            <w:shd w:fill="EDEDED" w:val="clear"/>
            <w:vAlign w:val="center"/>
          </w:tcPr>
          <w:p>
            <w:pPr>
              <w:pStyle w:val="TableContents"/>
              <w:bidi w:val="0"/>
              <w:spacing w:before="0" w:after="283"/>
              <w:jc w:val="center"/>
              <w:rPr/>
            </w:pPr>
            <w:r>
              <w:rPr/>
              <w:drawing>
                <wp:inline distT="0" distB="0" distL="0" distR="0">
                  <wp:extent cx="2276475" cy="1952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2276475" cy="1952625"/>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44" w:type="dxa"/>
            <w:tcBorders/>
            <w:shd w:fill="EDEDED" w:val="clear"/>
            <w:vAlign w:val="center"/>
          </w:tcPr>
          <w:p>
            <w:pPr>
              <w:pStyle w:val="TableContents"/>
              <w:bidi w:val="0"/>
              <w:spacing w:before="0" w:after="283"/>
              <w:jc w:val="left"/>
              <w:rPr>
                <w:sz w:val="4"/>
                <w:szCs w:val="4"/>
              </w:rPr>
            </w:pPr>
            <w:r>
              <w:rPr>
                <w:sz w:val="4"/>
                <w:szCs w:val="4"/>
              </w:rPr>
            </w:r>
          </w:p>
        </w:tc>
      </w:tr>
      <w:tr>
        <w:trPr/>
        <w:tc>
          <w:tcPr>
            <w:tcW w:w="48"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pPr>
            <w:r>
              <w:rPr/>
              <w:t> </w:t>
            </w:r>
          </w:p>
        </w:tc>
        <w:tc>
          <w:tcPr>
            <w:tcW w:w="2477" w:type="dxa"/>
            <w:tcBorders/>
            <w:shd w:fill="EDEDE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Adjusted</w:t>
            </w:r>
          </w:p>
          <w:p>
            <w:pPr>
              <w:pStyle w:val="TableContents"/>
              <w:bidi w:val="0"/>
              <w:spacing w:before="0" w:after="0"/>
              <w:jc w:val="center"/>
              <w:rPr>
                <w:rFonts w:ascii="Arial" w:hAnsi="Arial"/>
                <w:b/>
                <w:sz w:val="20"/>
              </w:rPr>
            </w:pPr>
            <w:r>
              <w:rPr>
                <w:rFonts w:ascii="Arial" w:hAnsi="Arial"/>
                <w:b/>
                <w:sz w:val="20"/>
              </w:rPr>
              <w:t>EPS*</w:t>
            </w:r>
          </w:p>
          <w:p>
            <w:pPr>
              <w:pStyle w:val="TableContents"/>
              <w:bidi w:val="0"/>
              <w:spacing w:before="0" w:after="0"/>
              <w:jc w:val="center"/>
              <w:rPr>
                <w:rFonts w:ascii="Arial" w:hAnsi="Arial"/>
                <w:color w:val="7DB655"/>
                <w:sz w:val="63"/>
              </w:rPr>
            </w:pPr>
            <w:r>
              <w:rPr>
                <w:rFonts w:ascii="Arial" w:hAnsi="Arial"/>
                <w:color w:val="7DB655"/>
                <w:sz w:val="63"/>
              </w:rPr>
              <w:t>$10.38</w:t>
            </w:r>
          </w:p>
          <w:p>
            <w:pPr>
              <w:pStyle w:val="TableContents"/>
              <w:bidi w:val="0"/>
              <w:spacing w:before="0" w:after="0"/>
              <w:jc w:val="center"/>
              <w:rPr>
                <w:rFonts w:ascii="Arial" w:hAnsi="Arial"/>
                <w:b/>
                <w:color w:val="7DB655"/>
                <w:sz w:val="24"/>
              </w:rPr>
            </w:pPr>
            <w:r>
              <w:rPr>
                <w:rFonts w:ascii="Arial" w:hAnsi="Arial"/>
                <w:b/>
                <w:color w:val="7DB655"/>
                <w:sz w:val="24"/>
              </w:rPr>
              <w:t>+6.9%</w:t>
            </w:r>
          </w:p>
          <w:p>
            <w:pPr>
              <w:pStyle w:val="TableContents"/>
              <w:bidi w:val="0"/>
              <w:spacing w:before="0" w:after="20"/>
              <w:jc w:val="left"/>
              <w:rPr/>
            </w:pPr>
            <w:r>
              <w:rPr/>
              <w:t> </w:t>
            </w:r>
          </w:p>
        </w:tc>
        <w:tc>
          <w:tcPr>
            <w:tcW w:w="76" w:type="dxa"/>
            <w:tcBorders/>
            <w:shd w:fill="EDEDED" w:val="clear"/>
            <w:vAlign w:val="center"/>
          </w:tcPr>
          <w:p>
            <w:pPr>
              <w:pStyle w:val="TableContents"/>
              <w:bidi w:val="0"/>
              <w:spacing w:before="0" w:after="283"/>
              <w:jc w:val="left"/>
              <w:rPr/>
            </w:pPr>
            <w:r>
              <w:rPr/>
              <w:t> </w:t>
            </w:r>
          </w:p>
        </w:tc>
        <w:tc>
          <w:tcPr>
            <w:tcW w:w="2509"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Operating Cash Flow</w:t>
            </w:r>
          </w:p>
          <w:p>
            <w:pPr>
              <w:pStyle w:val="TableContents"/>
              <w:bidi w:val="0"/>
              <w:spacing w:before="0" w:after="0"/>
              <w:jc w:val="center"/>
              <w:rPr>
                <w:rFonts w:ascii="Arial" w:hAnsi="Arial"/>
                <w:color w:val="7DB655"/>
                <w:sz w:val="63"/>
              </w:rPr>
            </w:pPr>
            <w:r>
              <w:rPr>
                <w:rFonts w:ascii="Arial" w:hAnsi="Arial"/>
                <w:color w:val="7DB655"/>
                <w:sz w:val="63"/>
              </w:rPr>
              <w:t>$150m</w:t>
            </w:r>
          </w:p>
          <w:p>
            <w:pPr>
              <w:pStyle w:val="TableContents"/>
              <w:bidi w:val="0"/>
              <w:spacing w:before="0" w:after="0"/>
              <w:jc w:val="center"/>
              <w:rPr>
                <w:rFonts w:ascii="Arial" w:hAnsi="Arial"/>
                <w:b/>
                <w:color w:val="7DB655"/>
                <w:sz w:val="24"/>
              </w:rPr>
            </w:pPr>
            <w:r>
              <w:rPr>
                <w:rFonts w:ascii="Arial" w:hAnsi="Arial"/>
                <w:b/>
                <w:color w:val="7DB655"/>
                <w:sz w:val="24"/>
              </w:rPr>
              <w:t>-11.1%</w:t>
            </w:r>
          </w:p>
          <w:p>
            <w:pPr>
              <w:pStyle w:val="TableContents"/>
              <w:bidi w:val="0"/>
              <w:spacing w:before="0" w:after="20"/>
              <w:jc w:val="left"/>
              <w:rPr/>
            </w:pPr>
            <w:r>
              <w:rPr/>
              <w:t> </w:t>
            </w:r>
          </w:p>
        </w:tc>
        <w:tc>
          <w:tcPr>
            <w:tcW w:w="154" w:type="dxa"/>
            <w:tcBorders/>
            <w:shd w:fill="EDEDED" w:val="clear"/>
            <w:vAlign w:val="center"/>
          </w:tcPr>
          <w:p>
            <w:pPr>
              <w:pStyle w:val="TableContents"/>
              <w:bidi w:val="0"/>
              <w:spacing w:before="0" w:after="283"/>
              <w:jc w:val="left"/>
              <w:rPr/>
            </w:pPr>
            <w:r>
              <w:rPr/>
              <w:t>  </w:t>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76" w:type="dxa"/>
            <w:vMerge w:val="continue"/>
            <w:tcBorders/>
            <w:shd w:fill="EDEDED" w:val="clear"/>
            <w:vAlign w:val="center"/>
          </w:tcPr>
          <w:p>
            <w:pPr>
              <w:pStyle w:val="Normal"/>
              <w:bidi w:val="0"/>
              <w:jc w:val="left"/>
              <w:rPr/>
            </w:pPr>
            <w:r>
              <w:rPr/>
            </w:r>
          </w:p>
        </w:tc>
        <w:tc>
          <w:tcPr>
            <w:tcW w:w="4656"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44" w:type="dxa"/>
            <w:tcBorders/>
            <w:shd w:fill="EDEDED" w:val="clear"/>
            <w:vAlign w:val="center"/>
          </w:tcPr>
          <w:p>
            <w:pPr>
              <w:pStyle w:val="TableContents"/>
              <w:bidi w:val="0"/>
              <w:spacing w:before="0" w:after="283"/>
              <w:jc w:val="left"/>
              <w:rPr>
                <w:sz w:val="4"/>
                <w:szCs w:val="4"/>
              </w:rPr>
            </w:pPr>
            <w:r>
              <w:rPr>
                <w:sz w:val="4"/>
                <w:szCs w:val="4"/>
              </w:rPr>
            </w:r>
          </w:p>
        </w:tc>
      </w:tr>
      <w:tr>
        <w:trPr/>
        <w:tc>
          <w:tcPr>
            <w:tcW w:w="10101" w:type="dxa"/>
            <w:gridSpan w:val="9"/>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i/>
                <w:color w:val="191919"/>
                <w:sz w:val="18"/>
              </w:rPr>
            </w:pPr>
            <w:r>
              <w:rPr>
                <w:rFonts w:ascii="Arial" w:hAnsi="Arial"/>
                <w:i/>
                <w:color w:val="191919"/>
                <w:sz w:val="18"/>
              </w:rPr>
              <w:t>*  EBITDA is comprised of earnings (net income) before interest, taxes, depreciation and amortization. Please see GAAP and Non-GAAP Reconciliations in Exhibit A.</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4"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5805" cy="194437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5805805" cy="1944370"/>
                    </a:xfrm>
                    <a:prstGeom prst="rect">
                      <a:avLst/>
                    </a:prstGeom>
                  </pic:spPr>
                </pic:pic>
              </a:graphicData>
            </a:graphic>
          </wp:inline>
        </w:drawing>
      </w:r>
      <w:r>
        <w:rPr/>
        <w:t xml:space="preserve"> </w:t>
      </w:r>
    </w:p>
    <w:p>
      <w:pPr>
        <w:pStyle w:val="TextBody"/>
        <w:bidi w:val="0"/>
        <w:spacing w:before="0" w:after="0"/>
        <w:jc w:val="left"/>
        <w:rPr/>
      </w:pPr>
      <w:r>
        <w:rPr/>
        <w:t> </w:t>
      </w:r>
    </w:p>
    <w:tbl>
      <w:tblPr>
        <w:tblW w:w="3753" w:type="dxa"/>
        <w:jc w:val="left"/>
        <w:tblInd w:w="0" w:type="dxa"/>
        <w:tblLayout w:type="fixed"/>
        <w:tblCellMar>
          <w:top w:w="0" w:type="dxa"/>
          <w:left w:w="0" w:type="dxa"/>
          <w:bottom w:w="0" w:type="dxa"/>
          <w:right w:w="0" w:type="dxa"/>
        </w:tblCellMar>
      </w:tblPr>
      <w:tblGrid>
        <w:gridCol w:w="75"/>
        <w:gridCol w:w="125"/>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sz w:val="20"/>
              </w:rPr>
            </w:pPr>
            <w:r>
              <w:rPr>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Our Company </w:t>
      </w:r>
    </w:p>
    <w:p>
      <w:pPr>
        <w:pStyle w:val="TextBody"/>
        <w:bidi w:val="0"/>
        <w:spacing w:before="0" w:after="0"/>
        <w:jc w:val="right"/>
        <w:rPr>
          <w:rFonts w:ascii="Arial" w:hAnsi="Arial"/>
          <w:sz w:val="16"/>
        </w:rPr>
      </w:pPr>
      <w:r>
        <w:rPr>
          <w:rFonts w:ascii="Arial" w:hAnsi="Arial"/>
          <w:sz w:val="16"/>
        </w:rPr>
        <w:t xml:space="preserve">Governance Highlights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r>
        <w:rPr>
          <w:rFonts w:ascii="Arial" w:hAnsi="Arial"/>
          <w:b/>
          <w:color w:val="7DB655"/>
          <w:sz w:val="30"/>
        </w:rPr>
        <w:t xml:space="preserve">Governance Highlights </w:t>
      </w:r>
    </w:p>
    <w:p>
      <w:pPr>
        <w:pStyle w:val="TextBody"/>
        <w:bidi w:val="0"/>
        <w:spacing w:before="240" w:after="0"/>
        <w:jc w:val="left"/>
        <w:rPr>
          <w:rFonts w:ascii="Arial" w:hAnsi="Arial"/>
          <w:color w:val="191919"/>
          <w:sz w:val="18"/>
        </w:rPr>
      </w:pPr>
      <w:r>
        <w:rPr>
          <w:rFonts w:ascii="Arial" w:hAnsi="Arial"/>
          <w:color w:val="191919"/>
          <w:sz w:val="18"/>
        </w:rPr>
        <w:t xml:space="preserve">Our Board of Directors (the “Board”) is committed to sound governance practices,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4"/>
        <w:gridCol w:w="60"/>
        <w:gridCol w:w="7891"/>
      </w:tblGrid>
      <w:tr>
        <w:trPr/>
        <w:tc>
          <w:tcPr>
            <w:tcW w:w="22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2254"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r>
              <w:rPr>
                <w:rFonts w:ascii="Arial" w:hAnsi="Arial"/>
                <w:b/>
                <w:color w:val="191919"/>
                <w:sz w:val="16"/>
              </w:rPr>
              <w:t>Director Independence</w:t>
            </w:r>
          </w:p>
        </w:tc>
        <w:tc>
          <w:tcPr>
            <w:tcW w:w="60" w:type="dxa"/>
            <w:tcBorders>
              <w:top w:val="single" w:sz="56" w:space="0" w:color="7DB655"/>
            </w:tcBorders>
            <w:tcMar>
              <w:top w:w="28" w:type="dxa"/>
            </w:tcMar>
            <w:vAlign w:val="center"/>
          </w:tcPr>
          <w:p>
            <w:pPr>
              <w:pStyle w:val="TableContents"/>
              <w:bidi w:val="0"/>
              <w:spacing w:before="0" w:after="283"/>
              <w:jc w:val="left"/>
              <w:rPr/>
            </w:pPr>
            <w:r>
              <w:rPr/>
              <w:t> </w:t>
            </w:r>
          </w:p>
        </w:tc>
        <w:tc>
          <w:tcPr>
            <w:tcW w:w="7891"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7"/>
              </w:rPr>
              <w:t>Six of our seven director nominees are independent</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7"/>
              </w:rPr>
              <w:t>Our Chief Executive Officer (“CEO”) is our only management director</w:t>
            </w:r>
          </w:p>
          <w:p>
            <w:pPr>
              <w:pStyle w:val="TableContents"/>
              <w:bidi w:val="0"/>
              <w:spacing w:before="0" w:after="20"/>
              <w:jc w:val="left"/>
              <w:rPr/>
            </w:pPr>
            <w:r>
              <w:rPr/>
              <w:t> </w:t>
            </w:r>
          </w:p>
        </w:tc>
      </w:tr>
      <w:tr>
        <w:trPr/>
        <w:tc>
          <w:tcPr>
            <w:tcW w:w="2254" w:type="dxa"/>
            <w:tcBorders/>
            <w:shd w:fill="EDEDED" w:val="clear"/>
            <w:vAlign w:val="center"/>
          </w:tcPr>
          <w:p>
            <w:pPr>
              <w:pStyle w:val="TableContents"/>
              <w:bidi w:val="0"/>
              <w:spacing w:before="0" w:after="283"/>
              <w:jc w:val="left"/>
              <w:rPr>
                <w:sz w:val="4"/>
                <w:szCs w:val="4"/>
              </w:rPr>
            </w:pPr>
            <w:r>
              <w:rPr>
                <w:sz w:val="4"/>
                <w:szCs w:val="4"/>
              </w:rPr>
            </w:r>
          </w:p>
        </w:tc>
        <w:tc>
          <w:tcPr>
            <w:tcW w:w="795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54" w:type="dxa"/>
            <w:tcBorders/>
            <w:shd w:fill="EDEDED" w:val="clear"/>
            <w:vAlign w:val="center"/>
          </w:tcPr>
          <w:p>
            <w:pPr>
              <w:pStyle w:val="TableContents"/>
              <w:bidi w:val="0"/>
              <w:spacing w:before="0" w:after="283"/>
              <w:jc w:val="left"/>
              <w:rPr>
                <w:color w:val="191919"/>
              </w:rPr>
            </w:pPr>
            <w:r>
              <w:rPr>
                <w:color w:val="191919"/>
              </w:rPr>
              <w:t> </w:t>
            </w:r>
            <w:r>
              <w:rPr>
                <w:b/>
                <w:color w:val="191919"/>
              </w:rPr>
              <w:t>Board Composition</w:t>
            </w:r>
          </w:p>
        </w:tc>
        <w:tc>
          <w:tcPr>
            <w:tcW w:w="60" w:type="dxa"/>
            <w:tcBorders/>
            <w:shd w:fill="EDEDED" w:val="clear"/>
            <w:vAlign w:val="center"/>
          </w:tcPr>
          <w:p>
            <w:pPr>
              <w:pStyle w:val="TableContents"/>
              <w:bidi w:val="0"/>
              <w:spacing w:before="0" w:after="283"/>
              <w:jc w:val="left"/>
              <w:rPr/>
            </w:pPr>
            <w:r>
              <w:rPr/>
              <w:t> </w:t>
            </w:r>
          </w:p>
        </w:tc>
        <w:tc>
          <w:tcPr>
            <w:tcW w:w="7891" w:type="dxa"/>
            <w:tcBorders/>
            <w:shd w:fill="EDEDED" w:val="clear"/>
            <w:vAlign w:val="center"/>
          </w:tcPr>
          <w:p>
            <w:pPr>
              <w:pStyle w:val="TableContents"/>
              <w:bidi w:val="0"/>
              <w:spacing w:before="0" w:after="0"/>
              <w:jc w:val="left"/>
              <w:rPr>
                <w:color w:val="191919"/>
              </w:rPr>
            </w:pPr>
            <w:r>
              <w:rPr>
                <w:color w:val="0A7DAC"/>
              </w:rPr>
              <w:t>•</w:t>
            </w:r>
            <w:r>
              <w:rPr>
                <w:color w:val="191919"/>
              </w:rPr>
              <w:t>  </w:t>
            </w:r>
            <w:r>
              <w:rPr>
                <w:rFonts w:ascii="Arial" w:hAnsi="Arial"/>
                <w:color w:val="191919"/>
                <w:sz w:val="17"/>
              </w:rPr>
              <w:t>All Board members are elected annually</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7"/>
              </w:rPr>
              <w:t>The Board annually assesses and evaluates its performance and the performance of its committees</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7"/>
              </w:rPr>
              <w:t>The Nominating &amp; Corporate Governance Committee leads the full Board in considering Board member competencies in light of Company strategy</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7"/>
              </w:rPr>
              <w:t>Our Corporate Governance Guidelines maintain an age-based retirement limit for directors at age 73</w:t>
            </w:r>
          </w:p>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7"/>
              </w:rPr>
              <w:t>Our directors have a diverse mix of backgrounds, qualifications, skills, and experiences that we believe contribute to a well-rounded Board that is positioned to effectively oversee our strategy</w:t>
            </w:r>
          </w:p>
          <w:p>
            <w:pPr>
              <w:pStyle w:val="TableContents"/>
              <w:bidi w:val="0"/>
              <w:spacing w:before="0" w:after="0"/>
              <w:jc w:val="left"/>
              <w:rPr/>
            </w:pPr>
            <w:r>
              <w:rPr/>
              <w:t> </w:t>
            </w:r>
          </w:p>
          <w:p>
            <w:pPr>
              <w:pStyle w:val="TableContents"/>
              <w:bidi w:val="0"/>
              <w:spacing w:before="0" w:after="20"/>
              <w:jc w:val="left"/>
              <w:rPr>
                <w:color w:val="191919"/>
              </w:rPr>
            </w:pPr>
            <w:r>
              <w:rPr>
                <w:color w:val="0A7DAC"/>
              </w:rPr>
              <w:t>•</w:t>
            </w:r>
            <w:r>
              <w:rPr>
                <w:color w:val="191919"/>
              </w:rPr>
              <w:t>  </w:t>
            </w:r>
            <w:r>
              <w:rPr>
                <w:rFonts w:ascii="Arial" w:hAnsi="Arial"/>
                <w:color w:val="191919"/>
                <w:sz w:val="17"/>
              </w:rPr>
              <w:t>43% of our director nominees are female and/or diverse</w:t>
            </w:r>
          </w:p>
        </w:tc>
      </w:tr>
      <w:tr>
        <w:trPr/>
        <w:tc>
          <w:tcPr>
            <w:tcW w:w="2254" w:type="dxa"/>
            <w:tcBorders/>
            <w:vAlign w:val="center"/>
          </w:tcPr>
          <w:p>
            <w:pPr>
              <w:pStyle w:val="TableContents"/>
              <w:bidi w:val="0"/>
              <w:spacing w:before="0" w:after="283"/>
              <w:jc w:val="left"/>
              <w:rPr>
                <w:sz w:val="4"/>
                <w:szCs w:val="4"/>
              </w:rPr>
            </w:pPr>
            <w:r>
              <w:rPr>
                <w:sz w:val="4"/>
                <w:szCs w:val="4"/>
              </w:rPr>
            </w:r>
          </w:p>
        </w:tc>
        <w:tc>
          <w:tcPr>
            <w:tcW w:w="7951" w:type="dxa"/>
            <w:gridSpan w:val="2"/>
            <w:tcBorders/>
            <w:vAlign w:val="center"/>
          </w:tcPr>
          <w:p>
            <w:pPr>
              <w:pStyle w:val="TableContents"/>
              <w:bidi w:val="0"/>
              <w:spacing w:before="0" w:after="283"/>
              <w:jc w:val="left"/>
              <w:rPr>
                <w:sz w:val="4"/>
                <w:szCs w:val="4"/>
              </w:rPr>
            </w:pPr>
            <w:r>
              <w:rPr>
                <w:sz w:val="4"/>
                <w:szCs w:val="4"/>
              </w:rPr>
            </w:r>
          </w:p>
        </w:tc>
      </w:tr>
      <w:tr>
        <w:trPr/>
        <w:tc>
          <w:tcPr>
            <w:tcW w:w="2254" w:type="dxa"/>
            <w:tcBorders/>
            <w:vAlign w:val="center"/>
          </w:tcPr>
          <w:p>
            <w:pPr>
              <w:pStyle w:val="TableContents"/>
              <w:bidi w:val="0"/>
              <w:spacing w:before="0" w:after="283"/>
              <w:jc w:val="left"/>
              <w:rPr>
                <w:color w:val="191919"/>
              </w:rPr>
            </w:pPr>
            <w:r>
              <w:rPr>
                <w:color w:val="191919"/>
              </w:rPr>
              <w:t> </w:t>
            </w:r>
            <w:r>
              <w:rPr>
                <w:b/>
                <w:color w:val="191919"/>
              </w:rPr>
              <w:t>Board Committees</w:t>
            </w:r>
          </w:p>
        </w:tc>
        <w:tc>
          <w:tcPr>
            <w:tcW w:w="60" w:type="dxa"/>
            <w:tcBorders/>
            <w:vAlign w:val="center"/>
          </w:tcPr>
          <w:p>
            <w:pPr>
              <w:pStyle w:val="TableContents"/>
              <w:bidi w:val="0"/>
              <w:spacing w:before="0" w:after="283"/>
              <w:jc w:val="left"/>
              <w:rPr/>
            </w:pPr>
            <w:r>
              <w:rPr/>
              <w:t> </w:t>
            </w:r>
          </w:p>
        </w:tc>
        <w:tc>
          <w:tcPr>
            <w:tcW w:w="7891" w:type="dxa"/>
            <w:tcBorders/>
            <w:vAlign w:val="center"/>
          </w:tcPr>
          <w:p>
            <w:pPr>
              <w:pStyle w:val="TableContents"/>
              <w:bidi w:val="0"/>
              <w:spacing w:before="0" w:after="0"/>
              <w:jc w:val="left"/>
              <w:rPr>
                <w:color w:val="191919"/>
              </w:rPr>
            </w:pPr>
            <w:r>
              <w:rPr>
                <w:color w:val="0A7DAC"/>
              </w:rPr>
              <w:t>•</w:t>
            </w:r>
            <w:r>
              <w:rPr>
                <w:color w:val="191919"/>
              </w:rPr>
              <w:t>  </w:t>
            </w:r>
            <w:r>
              <w:rPr>
                <w:rFonts w:ascii="Arial" w:hAnsi="Arial"/>
                <w:color w:val="191919"/>
                <w:sz w:val="17"/>
              </w:rPr>
              <w:t>We have three committees — Audit; Compensation &amp; Talent Development; and Nominating &amp; Corporate Governance</w:t>
            </w:r>
          </w:p>
          <w:p>
            <w:pPr>
              <w:pStyle w:val="TableContents"/>
              <w:bidi w:val="0"/>
              <w:spacing w:before="0" w:after="0"/>
              <w:jc w:val="left"/>
              <w:rPr/>
            </w:pPr>
            <w:r>
              <w:rPr/>
              <w:t> </w:t>
            </w:r>
          </w:p>
          <w:p>
            <w:pPr>
              <w:pStyle w:val="TableContents"/>
              <w:bidi w:val="0"/>
              <w:spacing w:before="0" w:after="20"/>
              <w:jc w:val="left"/>
              <w:rPr>
                <w:color w:val="191919"/>
              </w:rPr>
            </w:pPr>
            <w:r>
              <w:rPr>
                <w:color w:val="0A7DAC"/>
              </w:rPr>
              <w:t>•</w:t>
            </w:r>
            <w:r>
              <w:rPr>
                <w:color w:val="191919"/>
              </w:rPr>
              <w:t>  </w:t>
            </w:r>
            <w:r>
              <w:rPr>
                <w:rFonts w:ascii="Arial" w:hAnsi="Arial"/>
                <w:color w:val="191919"/>
                <w:sz w:val="17"/>
              </w:rPr>
              <w:t>All committees are composed entirely of independent directors</w:t>
            </w:r>
          </w:p>
        </w:tc>
      </w:tr>
      <w:tr>
        <w:trPr/>
        <w:tc>
          <w:tcPr>
            <w:tcW w:w="2254" w:type="dxa"/>
            <w:tcBorders/>
            <w:shd w:fill="EDEDED" w:val="clear"/>
            <w:vAlign w:val="center"/>
          </w:tcPr>
          <w:p>
            <w:pPr>
              <w:pStyle w:val="TableContents"/>
              <w:bidi w:val="0"/>
              <w:spacing w:before="0" w:after="283"/>
              <w:jc w:val="left"/>
              <w:rPr>
                <w:sz w:val="4"/>
                <w:szCs w:val="4"/>
              </w:rPr>
            </w:pPr>
            <w:r>
              <w:rPr>
                <w:sz w:val="4"/>
                <w:szCs w:val="4"/>
              </w:rPr>
            </w:r>
          </w:p>
        </w:tc>
        <w:tc>
          <w:tcPr>
            <w:tcW w:w="795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54" w:type="dxa"/>
            <w:tcBorders/>
            <w:shd w:fill="EDEDED" w:val="clear"/>
            <w:vAlign w:val="center"/>
          </w:tcPr>
          <w:p>
            <w:pPr>
              <w:pStyle w:val="TableContents"/>
              <w:bidi w:val="0"/>
              <w:spacing w:before="0" w:after="283"/>
              <w:jc w:val="left"/>
              <w:rPr>
                <w:color w:val="191919"/>
              </w:rPr>
            </w:pPr>
            <w:r>
              <w:rPr>
                <w:color w:val="191919"/>
              </w:rPr>
              <w:t> </w:t>
            </w:r>
            <w:r>
              <w:rPr>
                <w:b/>
                <w:color w:val="191919"/>
              </w:rPr>
              <w:t>Leadership Structure</w:t>
            </w:r>
          </w:p>
        </w:tc>
        <w:tc>
          <w:tcPr>
            <w:tcW w:w="60" w:type="dxa"/>
            <w:tcBorders/>
            <w:shd w:fill="EDEDED" w:val="clear"/>
            <w:vAlign w:val="center"/>
          </w:tcPr>
          <w:p>
            <w:pPr>
              <w:pStyle w:val="TableContents"/>
              <w:bidi w:val="0"/>
              <w:spacing w:before="0" w:after="283"/>
              <w:jc w:val="left"/>
              <w:rPr/>
            </w:pPr>
            <w:r>
              <w:rPr/>
              <w:t> </w:t>
            </w:r>
          </w:p>
        </w:tc>
        <w:tc>
          <w:tcPr>
            <w:tcW w:w="7891" w:type="dxa"/>
            <w:tcBorders/>
            <w:shd w:fill="EDEDED" w:val="clear"/>
            <w:vAlign w:val="center"/>
          </w:tcPr>
          <w:p>
            <w:pPr>
              <w:pStyle w:val="TableContents"/>
              <w:bidi w:val="0"/>
              <w:spacing w:before="0" w:after="0"/>
              <w:jc w:val="left"/>
              <w:rPr>
                <w:color w:val="191919"/>
              </w:rPr>
            </w:pPr>
            <w:r>
              <w:rPr>
                <w:color w:val="0A7DAC"/>
              </w:rPr>
              <w:t>•</w:t>
            </w:r>
            <w:r>
              <w:rPr>
                <w:color w:val="191919"/>
              </w:rPr>
              <w:t>  </w:t>
            </w:r>
            <w:r>
              <w:rPr>
                <w:rFonts w:ascii="Arial" w:hAnsi="Arial"/>
                <w:color w:val="191919"/>
                <w:sz w:val="17"/>
              </w:rPr>
              <w:t>Our Board has a Lead Independent Director who works closely with our Chairman, CEO and President in fulfilling responsibilities and duties</w:t>
            </w:r>
          </w:p>
          <w:p>
            <w:pPr>
              <w:pStyle w:val="TableContents"/>
              <w:bidi w:val="0"/>
              <w:spacing w:before="0" w:after="0"/>
              <w:jc w:val="left"/>
              <w:rPr/>
            </w:pPr>
            <w:r>
              <w:rPr/>
              <w:t> </w:t>
            </w:r>
          </w:p>
          <w:p>
            <w:pPr>
              <w:pStyle w:val="TableContents"/>
              <w:bidi w:val="0"/>
              <w:spacing w:before="0" w:after="20"/>
              <w:jc w:val="left"/>
              <w:rPr>
                <w:color w:val="191919"/>
              </w:rPr>
            </w:pPr>
            <w:r>
              <w:rPr>
                <w:color w:val="0A7DAC"/>
              </w:rPr>
              <w:t>•</w:t>
            </w:r>
            <w:r>
              <w:rPr>
                <w:color w:val="191919"/>
              </w:rPr>
              <w:t>  </w:t>
            </w:r>
            <w:r>
              <w:rPr>
                <w:rFonts w:ascii="Arial" w:hAnsi="Arial"/>
                <w:color w:val="191919"/>
                <w:sz w:val="17"/>
              </w:rPr>
              <w:t>Our Lead Independent Director chairs executive sessions of the independent directors, among other duties</w:t>
            </w:r>
          </w:p>
        </w:tc>
      </w:tr>
      <w:tr>
        <w:trPr/>
        <w:tc>
          <w:tcPr>
            <w:tcW w:w="2254" w:type="dxa"/>
            <w:tcBorders/>
            <w:vAlign w:val="center"/>
          </w:tcPr>
          <w:p>
            <w:pPr>
              <w:pStyle w:val="TableContents"/>
              <w:bidi w:val="0"/>
              <w:spacing w:before="0" w:after="283"/>
              <w:jc w:val="left"/>
              <w:rPr>
                <w:sz w:val="4"/>
                <w:szCs w:val="4"/>
              </w:rPr>
            </w:pPr>
            <w:r>
              <w:rPr>
                <w:sz w:val="4"/>
                <w:szCs w:val="4"/>
              </w:rPr>
            </w:r>
          </w:p>
        </w:tc>
        <w:tc>
          <w:tcPr>
            <w:tcW w:w="7951" w:type="dxa"/>
            <w:gridSpan w:val="2"/>
            <w:tcBorders/>
            <w:vAlign w:val="center"/>
          </w:tcPr>
          <w:p>
            <w:pPr>
              <w:pStyle w:val="TableContents"/>
              <w:bidi w:val="0"/>
              <w:spacing w:before="0" w:after="283"/>
              <w:jc w:val="left"/>
              <w:rPr>
                <w:sz w:val="4"/>
                <w:szCs w:val="4"/>
              </w:rPr>
            </w:pPr>
            <w:r>
              <w:rPr>
                <w:sz w:val="4"/>
                <w:szCs w:val="4"/>
              </w:rPr>
            </w:r>
          </w:p>
        </w:tc>
      </w:tr>
      <w:tr>
        <w:trPr/>
        <w:tc>
          <w:tcPr>
            <w:tcW w:w="2254" w:type="dxa"/>
            <w:tcBorders/>
            <w:vAlign w:val="center"/>
          </w:tcPr>
          <w:p>
            <w:pPr>
              <w:pStyle w:val="TableContents"/>
              <w:bidi w:val="0"/>
              <w:spacing w:before="0" w:after="283"/>
              <w:jc w:val="left"/>
              <w:rPr>
                <w:color w:val="191919"/>
              </w:rPr>
            </w:pPr>
            <w:r>
              <w:rPr>
                <w:color w:val="191919"/>
              </w:rPr>
              <w:t> </w:t>
            </w:r>
            <w:r>
              <w:rPr>
                <w:b/>
                <w:color w:val="191919"/>
              </w:rPr>
              <w:t xml:space="preserve">Environmental, Social </w:t>
              <w:br/>
            </w:r>
            <w:r>
              <w:rPr>
                <w:color w:val="191919"/>
              </w:rPr>
              <w:t> </w:t>
            </w:r>
            <w:r>
              <w:rPr>
                <w:b/>
                <w:color w:val="191919"/>
              </w:rPr>
              <w:t>&amp; Governance Oversight</w:t>
            </w:r>
          </w:p>
        </w:tc>
        <w:tc>
          <w:tcPr>
            <w:tcW w:w="60" w:type="dxa"/>
            <w:tcBorders/>
            <w:vAlign w:val="center"/>
          </w:tcPr>
          <w:p>
            <w:pPr>
              <w:pStyle w:val="TableContents"/>
              <w:bidi w:val="0"/>
              <w:spacing w:before="0" w:after="283"/>
              <w:jc w:val="left"/>
              <w:rPr/>
            </w:pPr>
            <w:r>
              <w:rPr/>
              <w:t> </w:t>
            </w:r>
          </w:p>
        </w:tc>
        <w:tc>
          <w:tcPr>
            <w:tcW w:w="7891" w:type="dxa"/>
            <w:tcBorders/>
            <w:vAlign w:val="center"/>
          </w:tcPr>
          <w:p>
            <w:pPr>
              <w:pStyle w:val="TableContents"/>
              <w:bidi w:val="0"/>
              <w:spacing w:before="0" w:after="20"/>
              <w:jc w:val="left"/>
              <w:rPr>
                <w:color w:val="191919"/>
              </w:rPr>
            </w:pPr>
            <w:r>
              <w:rPr>
                <w:color w:val="0A7DAC"/>
              </w:rPr>
              <w:t>•</w:t>
            </w:r>
            <w:r>
              <w:rPr>
                <w:color w:val="191919"/>
              </w:rPr>
              <w:t>  </w:t>
            </w:r>
            <w:r>
              <w:rPr>
                <w:rFonts w:ascii="Arial" w:hAnsi="Arial"/>
                <w:color w:val="191919"/>
                <w:sz w:val="17"/>
              </w:rPr>
              <w:t>Our Nominating &amp; Corporate Governance Committee oversees our Environmental, Social &amp; Governance (“ESG”) Program</w:t>
            </w:r>
          </w:p>
        </w:tc>
      </w:tr>
      <w:tr>
        <w:trPr/>
        <w:tc>
          <w:tcPr>
            <w:tcW w:w="2254" w:type="dxa"/>
            <w:tcBorders/>
            <w:shd w:fill="EDEDED" w:val="clear"/>
            <w:vAlign w:val="center"/>
          </w:tcPr>
          <w:p>
            <w:pPr>
              <w:pStyle w:val="TableContents"/>
              <w:bidi w:val="0"/>
              <w:spacing w:before="0" w:after="283"/>
              <w:jc w:val="left"/>
              <w:rPr>
                <w:sz w:val="4"/>
                <w:szCs w:val="4"/>
              </w:rPr>
            </w:pPr>
            <w:r>
              <w:rPr>
                <w:sz w:val="4"/>
                <w:szCs w:val="4"/>
              </w:rPr>
            </w:r>
          </w:p>
        </w:tc>
        <w:tc>
          <w:tcPr>
            <w:tcW w:w="795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54" w:type="dxa"/>
            <w:tcBorders/>
            <w:shd w:fill="EDEDED" w:val="clear"/>
            <w:vAlign w:val="center"/>
          </w:tcPr>
          <w:p>
            <w:pPr>
              <w:pStyle w:val="TableContents"/>
              <w:bidi w:val="0"/>
              <w:spacing w:before="0" w:after="283"/>
              <w:jc w:val="left"/>
              <w:rPr>
                <w:color w:val="191919"/>
              </w:rPr>
            </w:pPr>
            <w:r>
              <w:rPr>
                <w:color w:val="191919"/>
              </w:rPr>
              <w:t> </w:t>
            </w:r>
            <w:r>
              <w:rPr>
                <w:b/>
                <w:color w:val="191919"/>
              </w:rPr>
              <w:t>Risk Oversight</w:t>
            </w:r>
          </w:p>
        </w:tc>
        <w:tc>
          <w:tcPr>
            <w:tcW w:w="60" w:type="dxa"/>
            <w:tcBorders/>
            <w:shd w:fill="EDEDED" w:val="clear"/>
            <w:vAlign w:val="center"/>
          </w:tcPr>
          <w:p>
            <w:pPr>
              <w:pStyle w:val="TableContents"/>
              <w:bidi w:val="0"/>
              <w:spacing w:before="0" w:after="283"/>
              <w:jc w:val="left"/>
              <w:rPr/>
            </w:pPr>
            <w:r>
              <w:rPr/>
              <w:t> </w:t>
            </w:r>
          </w:p>
        </w:tc>
        <w:tc>
          <w:tcPr>
            <w:tcW w:w="7891" w:type="dxa"/>
            <w:tcBorders/>
            <w:shd w:fill="EDEDED" w:val="clear"/>
            <w:vAlign w:val="center"/>
          </w:tcPr>
          <w:p>
            <w:pPr>
              <w:pStyle w:val="TableContents"/>
              <w:bidi w:val="0"/>
              <w:spacing w:before="0" w:after="0"/>
              <w:jc w:val="left"/>
              <w:rPr>
                <w:color w:val="191919"/>
              </w:rPr>
            </w:pPr>
            <w:r>
              <w:rPr>
                <w:color w:val="0A7DAC"/>
              </w:rPr>
              <w:t>•</w:t>
            </w:r>
            <w:r>
              <w:rPr>
                <w:color w:val="191919"/>
              </w:rPr>
              <w:t>  </w:t>
            </w:r>
            <w:r>
              <w:rPr>
                <w:rFonts w:ascii="Arial" w:hAnsi="Arial"/>
                <w:color w:val="191919"/>
                <w:sz w:val="17"/>
              </w:rPr>
              <w:t>Our Board is responsible for enterprise risk oversight and has committees designated to oversee specific key risks</w:t>
            </w:r>
          </w:p>
          <w:p>
            <w:pPr>
              <w:pStyle w:val="TableContents"/>
              <w:bidi w:val="0"/>
              <w:spacing w:before="0" w:after="0"/>
              <w:jc w:val="left"/>
              <w:rPr/>
            </w:pPr>
            <w:r>
              <w:rPr/>
              <w:t> </w:t>
            </w:r>
          </w:p>
          <w:p>
            <w:pPr>
              <w:pStyle w:val="TableContents"/>
              <w:bidi w:val="0"/>
              <w:spacing w:before="0" w:after="20"/>
              <w:jc w:val="left"/>
              <w:rPr>
                <w:color w:val="191919"/>
              </w:rPr>
            </w:pPr>
            <w:r>
              <w:rPr>
                <w:color w:val="0A7DAC"/>
              </w:rPr>
              <w:t>•</w:t>
            </w:r>
            <w:r>
              <w:rPr>
                <w:color w:val="191919"/>
              </w:rPr>
              <w:t>  </w:t>
            </w:r>
            <w:r>
              <w:rPr>
                <w:rFonts w:ascii="Arial" w:hAnsi="Arial"/>
                <w:color w:val="191919"/>
                <w:sz w:val="17"/>
              </w:rPr>
              <w:t>Our Audit Committee oversees administration of the Company’s Enterprise Risk Management (“ERM”) Program for the assessment and mitigation of key risks</w:t>
            </w:r>
          </w:p>
        </w:tc>
      </w:tr>
      <w:tr>
        <w:trPr/>
        <w:tc>
          <w:tcPr>
            <w:tcW w:w="2254" w:type="dxa"/>
            <w:tcBorders/>
            <w:vAlign w:val="center"/>
          </w:tcPr>
          <w:p>
            <w:pPr>
              <w:pStyle w:val="TableContents"/>
              <w:bidi w:val="0"/>
              <w:spacing w:before="0" w:after="283"/>
              <w:jc w:val="left"/>
              <w:rPr>
                <w:sz w:val="4"/>
                <w:szCs w:val="4"/>
              </w:rPr>
            </w:pPr>
            <w:r>
              <w:rPr>
                <w:sz w:val="4"/>
                <w:szCs w:val="4"/>
              </w:rPr>
            </w:r>
          </w:p>
        </w:tc>
        <w:tc>
          <w:tcPr>
            <w:tcW w:w="7951" w:type="dxa"/>
            <w:gridSpan w:val="2"/>
            <w:tcBorders/>
            <w:vAlign w:val="center"/>
          </w:tcPr>
          <w:p>
            <w:pPr>
              <w:pStyle w:val="TableContents"/>
              <w:bidi w:val="0"/>
              <w:spacing w:before="0" w:after="283"/>
              <w:jc w:val="left"/>
              <w:rPr>
                <w:sz w:val="4"/>
                <w:szCs w:val="4"/>
              </w:rPr>
            </w:pPr>
            <w:r>
              <w:rPr>
                <w:sz w:val="4"/>
                <w:szCs w:val="4"/>
              </w:rPr>
            </w:r>
          </w:p>
        </w:tc>
      </w:tr>
      <w:tr>
        <w:trPr/>
        <w:tc>
          <w:tcPr>
            <w:tcW w:w="2254" w:type="dxa"/>
            <w:tcBorders/>
            <w:vAlign w:val="center"/>
          </w:tcPr>
          <w:p>
            <w:pPr>
              <w:pStyle w:val="TableContents"/>
              <w:bidi w:val="0"/>
              <w:spacing w:before="0" w:after="283"/>
              <w:jc w:val="left"/>
              <w:rPr>
                <w:color w:val="191919"/>
              </w:rPr>
            </w:pPr>
            <w:r>
              <w:rPr>
                <w:color w:val="191919"/>
              </w:rPr>
              <w:t> </w:t>
            </w:r>
            <w:r>
              <w:rPr>
                <w:b/>
                <w:color w:val="191919"/>
              </w:rPr>
              <w:t>Open Communication</w:t>
            </w:r>
          </w:p>
        </w:tc>
        <w:tc>
          <w:tcPr>
            <w:tcW w:w="60" w:type="dxa"/>
            <w:tcBorders/>
            <w:vAlign w:val="center"/>
          </w:tcPr>
          <w:p>
            <w:pPr>
              <w:pStyle w:val="TableContents"/>
              <w:bidi w:val="0"/>
              <w:spacing w:before="0" w:after="283"/>
              <w:jc w:val="left"/>
              <w:rPr/>
            </w:pPr>
            <w:r>
              <w:rPr/>
              <w:t> </w:t>
            </w:r>
          </w:p>
        </w:tc>
        <w:tc>
          <w:tcPr>
            <w:tcW w:w="7891" w:type="dxa"/>
            <w:tcBorders/>
            <w:vAlign w:val="center"/>
          </w:tcPr>
          <w:p>
            <w:pPr>
              <w:pStyle w:val="TableContents"/>
              <w:bidi w:val="0"/>
              <w:spacing w:before="0" w:after="0"/>
              <w:jc w:val="left"/>
              <w:rPr>
                <w:color w:val="191919"/>
              </w:rPr>
            </w:pPr>
            <w:r>
              <w:rPr>
                <w:color w:val="0A7DAC"/>
              </w:rPr>
              <w:t>•</w:t>
            </w:r>
            <w:r>
              <w:rPr>
                <w:color w:val="191919"/>
              </w:rPr>
              <w:t>  </w:t>
            </w:r>
            <w:r>
              <w:rPr>
                <w:rFonts w:ascii="Arial" w:hAnsi="Arial"/>
                <w:color w:val="191919"/>
                <w:sz w:val="17"/>
              </w:rPr>
              <w:t>We encourage open communication and strong working relationships among the Lead Independent Director, Chairman, and other directors</w:t>
            </w:r>
          </w:p>
          <w:p>
            <w:pPr>
              <w:pStyle w:val="TableContents"/>
              <w:bidi w:val="0"/>
              <w:spacing w:before="0" w:after="0"/>
              <w:jc w:val="left"/>
              <w:rPr/>
            </w:pPr>
            <w:r>
              <w:rPr/>
              <w:t> </w:t>
            </w:r>
          </w:p>
          <w:p>
            <w:pPr>
              <w:pStyle w:val="TableContents"/>
              <w:bidi w:val="0"/>
              <w:spacing w:before="0" w:after="20"/>
              <w:jc w:val="left"/>
              <w:rPr>
                <w:color w:val="191919"/>
              </w:rPr>
            </w:pPr>
            <w:r>
              <w:rPr>
                <w:color w:val="0A7DAC"/>
              </w:rPr>
              <w:t>•</w:t>
            </w:r>
            <w:r>
              <w:rPr>
                <w:color w:val="191919"/>
              </w:rPr>
              <w:t>  </w:t>
            </w:r>
            <w:r>
              <w:rPr>
                <w:rFonts w:ascii="Arial" w:hAnsi="Arial"/>
                <w:color w:val="191919"/>
                <w:sz w:val="17"/>
              </w:rPr>
              <w:t>Our directors have direct and unrestricted access to management and other employees</w:t>
            </w:r>
          </w:p>
        </w:tc>
      </w:tr>
      <w:tr>
        <w:trPr/>
        <w:tc>
          <w:tcPr>
            <w:tcW w:w="2254" w:type="dxa"/>
            <w:tcBorders/>
            <w:shd w:fill="EDEDED" w:val="clear"/>
            <w:vAlign w:val="center"/>
          </w:tcPr>
          <w:p>
            <w:pPr>
              <w:pStyle w:val="TableContents"/>
              <w:bidi w:val="0"/>
              <w:spacing w:before="0" w:after="283"/>
              <w:jc w:val="left"/>
              <w:rPr>
                <w:sz w:val="4"/>
                <w:szCs w:val="4"/>
              </w:rPr>
            </w:pPr>
            <w:r>
              <w:rPr>
                <w:sz w:val="4"/>
                <w:szCs w:val="4"/>
              </w:rPr>
            </w:r>
          </w:p>
        </w:tc>
        <w:tc>
          <w:tcPr>
            <w:tcW w:w="795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54" w:type="dxa"/>
            <w:tcBorders>
              <w:bottom w:val="single" w:sz="6" w:space="0" w:color="7DB655"/>
            </w:tcBorders>
            <w:shd w:fill="EDEDED" w:val="clear"/>
            <w:tcMar>
              <w:bottom w:w="40" w:type="dxa"/>
            </w:tcMar>
            <w:vAlign w:val="center"/>
          </w:tcPr>
          <w:p>
            <w:pPr>
              <w:pStyle w:val="TableContents"/>
              <w:bidi w:val="0"/>
              <w:spacing w:before="0" w:after="283"/>
              <w:jc w:val="left"/>
              <w:rPr>
                <w:color w:val="191919"/>
              </w:rPr>
            </w:pPr>
            <w:r>
              <w:rPr>
                <w:color w:val="191919"/>
              </w:rPr>
              <w:t> </w:t>
            </w:r>
            <w:r>
              <w:rPr>
                <w:b/>
                <w:color w:val="191919"/>
              </w:rPr>
              <w:t>Stock Ownership</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7891" w:type="dxa"/>
            <w:tcBorders>
              <w:bottom w:val="single" w:sz="6" w:space="0" w:color="7DB655"/>
            </w:tcBorders>
            <w:shd w:fill="EDEDED" w:val="clear"/>
            <w:tcMar>
              <w:bottom w:w="40" w:type="dxa"/>
            </w:tcMar>
            <w:vAlign w:val="center"/>
          </w:tcPr>
          <w:p>
            <w:pPr>
              <w:pStyle w:val="TableContents"/>
              <w:bidi w:val="0"/>
              <w:spacing w:before="0" w:after="20"/>
              <w:jc w:val="left"/>
              <w:rPr>
                <w:color w:val="191919"/>
              </w:rPr>
            </w:pPr>
            <w:r>
              <w:rPr>
                <w:color w:val="0A7DAC"/>
              </w:rPr>
              <w:t>•</w:t>
            </w:r>
            <w:r>
              <w:rPr>
                <w:color w:val="191919"/>
              </w:rPr>
              <w:t>  </w:t>
            </w:r>
            <w:r>
              <w:rPr>
                <w:rFonts w:ascii="Arial" w:hAnsi="Arial"/>
                <w:color w:val="191919"/>
                <w:sz w:val="17"/>
              </w:rPr>
              <w:t>Our directors and executive officers are subject to robust stock ownership requirements</w:t>
            </w:r>
          </w:p>
        </w:tc>
      </w:tr>
    </w:tbl>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b/>
              </w:rPr>
            </w:pPr>
            <w:r>
              <w:rPr>
                <w:b/>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4" w:name="toc36145_2"/>
      <w:bookmarkEnd w:id="4"/>
      <w:r>
        <w:rPr>
          <w:rFonts w:ascii="Arial" w:hAnsi="Arial"/>
          <w:b/>
          <w:color w:val="0A7DAC"/>
          <w:sz w:val="40"/>
        </w:rPr>
        <w:t xml:space="preserve">Proxy Statement Summary </w:t>
      </w:r>
    </w:p>
    <w:p>
      <w:pPr>
        <w:pStyle w:val="TextBody"/>
        <w:bidi w:val="0"/>
        <w:spacing w:before="240" w:after="0"/>
        <w:jc w:val="left"/>
        <w:rPr>
          <w:rFonts w:ascii="Arial" w:hAnsi="Arial"/>
          <w:i/>
          <w:color w:val="191919"/>
          <w:sz w:val="18"/>
        </w:rPr>
      </w:pPr>
      <w:r>
        <w:rPr>
          <w:rFonts w:ascii="Arial" w:hAnsi="Arial"/>
          <w:i/>
          <w:color w:val="191919"/>
          <w:sz w:val="18"/>
        </w:rPr>
        <w:t xml:space="preserve">This summary highlights selected information that is discussed in more detail elsewhere in this Proxy Statement. This summary does not contain all the information that you should consider, and you should read the entire Proxy Statement and the Annual Report on Form 10-K for the year ended March 31, 2026 carefully before voting. </w:t>
      </w:r>
    </w:p>
    <w:p>
      <w:pPr>
        <w:pStyle w:val="TextBody"/>
        <w:bidi w:val="0"/>
        <w:spacing w:before="240" w:after="0"/>
        <w:jc w:val="left"/>
        <w:rPr>
          <w:rFonts w:ascii="Arial" w:hAnsi="Arial"/>
          <w:i/>
          <w:color w:val="191919"/>
          <w:sz w:val="18"/>
        </w:rPr>
      </w:pPr>
      <w:r>
        <w:rPr>
          <w:rFonts w:ascii="Arial" w:hAnsi="Arial"/>
          <w:i/>
          <w:color w:val="191919"/>
          <w:sz w:val="18"/>
        </w:rPr>
        <w:t xml:space="preserve">References in this Proxy Statement to “we,” “us,” “our,” “the Company,” and “CSW” refer to CSW Industrials, Inc. and its consolidated subsidiaries. </w:t>
      </w:r>
    </w:p>
    <w:p>
      <w:pPr>
        <w:pStyle w:val="TextBody"/>
        <w:bidi w:val="0"/>
        <w:spacing w:before="360" w:after="0"/>
        <w:jc w:val="left"/>
        <w:rPr>
          <w:rFonts w:ascii="Arial" w:hAnsi="Arial"/>
          <w:b/>
          <w:color w:val="7DB655"/>
          <w:sz w:val="30"/>
        </w:rPr>
      </w:pPr>
      <w:r>
        <w:rPr>
          <w:rFonts w:ascii="Arial" w:hAnsi="Arial"/>
          <w:b/>
          <w:color w:val="7DB655"/>
          <w:sz w:val="30"/>
        </w:rPr>
        <w:t xml:space="preserve">Information About the Annual Meeting (page 75) </w:t>
      </w:r>
    </w:p>
    <w:p>
      <w:pPr>
        <w:pStyle w:val="TextBody"/>
        <w:bidi w:val="0"/>
        <w:spacing w:before="240" w:after="0"/>
        <w:jc w:val="left"/>
        <w:rPr>
          <w:rFonts w:ascii="Arial" w:hAnsi="Arial"/>
          <w:b/>
          <w:color w:val="191919"/>
          <w:sz w:val="26"/>
        </w:rPr>
      </w:pPr>
      <w:r>
        <w:rPr>
          <w:rFonts w:ascii="Arial" w:hAnsi="Arial"/>
          <w:b/>
          <w:color w:val="191919"/>
          <w:sz w:val="26"/>
        </w:rPr>
        <w:t xml:space="preserve">Time and Place </w:t>
      </w:r>
    </w:p>
    <w:p>
      <w:pPr>
        <w:pStyle w:val="TextBody"/>
        <w:bidi w:val="0"/>
        <w:spacing w:before="0" w:after="0"/>
        <w:jc w:val="left"/>
        <w:rPr/>
      </w:pPr>
      <w:r>
        <w:rPr/>
        <w:t> </w:t>
      </w:r>
    </w:p>
    <w:tbl>
      <w:tblPr>
        <w:tblW w:w="7606" w:type="dxa"/>
        <w:jc w:val="left"/>
        <w:tblInd w:w="0" w:type="dxa"/>
        <w:tblLayout w:type="fixed"/>
        <w:tblCellMar>
          <w:top w:w="0" w:type="dxa"/>
          <w:left w:w="0" w:type="dxa"/>
          <w:bottom w:w="0" w:type="dxa"/>
          <w:right w:w="0" w:type="dxa"/>
        </w:tblCellMar>
      </w:tblPr>
      <w:tblGrid>
        <w:gridCol w:w="38"/>
        <w:gridCol w:w="60"/>
        <w:gridCol w:w="2210"/>
        <w:gridCol w:w="60"/>
        <w:gridCol w:w="3935"/>
        <w:gridCol w:w="60"/>
        <w:gridCol w:w="1145"/>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21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83845" cy="28384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283845" cy="283845"/>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393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9400" cy="30797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279400" cy="307975"/>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14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5435" cy="30543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305435" cy="305435"/>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210" w:type="dxa"/>
            <w:tcBorders/>
            <w:shd w:fill="EDEDED" w:val="clear"/>
            <w:vAlign w:val="center"/>
          </w:tcPr>
          <w:p>
            <w:pPr>
              <w:pStyle w:val="TableContents"/>
              <w:bidi w:val="0"/>
              <w:spacing w:lineRule="atLeast" w:line="240" w:before="0" w:after="0"/>
              <w:jc w:val="center"/>
              <w:rPr>
                <w:rFonts w:ascii="Arial" w:hAnsi="Arial"/>
                <w:b/>
                <w:color w:val="191919"/>
                <w:sz w:val="20"/>
              </w:rPr>
            </w:pPr>
            <w:r>
              <w:rPr>
                <w:rFonts w:ascii="Arial" w:hAnsi="Arial"/>
                <w:b/>
                <w:color w:val="191919"/>
                <w:sz w:val="20"/>
              </w:rPr>
              <w:t>Time and Date</w:t>
            </w:r>
          </w:p>
          <w:p>
            <w:pPr>
              <w:pStyle w:val="TableContents"/>
              <w:bidi w:val="0"/>
              <w:spacing w:lineRule="atLeast" w:line="260" w:before="0" w:after="0"/>
              <w:jc w:val="center"/>
              <w:rPr>
                <w:rFonts w:ascii="Arial" w:hAnsi="Arial"/>
                <w:color w:val="191919"/>
                <w:sz w:val="18"/>
              </w:rPr>
            </w:pPr>
            <w:r>
              <w:rPr>
                <w:rFonts w:ascii="Arial" w:hAnsi="Arial"/>
                <w:color w:val="191919"/>
                <w:sz w:val="18"/>
              </w:rPr>
              <w:t>12:30 p.m., Central Time</w:t>
            </w:r>
          </w:p>
          <w:p>
            <w:pPr>
              <w:pStyle w:val="TableContents"/>
              <w:bidi w:val="0"/>
              <w:spacing w:lineRule="atLeast" w:line="260" w:before="0" w:after="20"/>
              <w:jc w:val="center"/>
              <w:rPr>
                <w:rFonts w:ascii="Arial" w:hAnsi="Arial"/>
                <w:color w:val="191919"/>
                <w:sz w:val="18"/>
              </w:rPr>
            </w:pPr>
            <w:r>
              <w:rPr>
                <w:rFonts w:ascii="Arial" w:hAnsi="Arial"/>
                <w:color w:val="191919"/>
                <w:sz w:val="18"/>
              </w:rPr>
              <w:t>Thursday, August 27, 2026</w:t>
            </w:r>
          </w:p>
        </w:tc>
        <w:tc>
          <w:tcPr>
            <w:tcW w:w="60" w:type="dxa"/>
            <w:tcBorders/>
            <w:shd w:fill="EDEDED" w:val="clear"/>
            <w:vAlign w:val="center"/>
          </w:tcPr>
          <w:p>
            <w:pPr>
              <w:pStyle w:val="TableContents"/>
              <w:bidi w:val="0"/>
              <w:spacing w:before="0" w:after="283"/>
              <w:jc w:val="left"/>
              <w:rPr/>
            </w:pPr>
            <w:r>
              <w:rPr/>
              <w:t> </w:t>
            </w:r>
          </w:p>
        </w:tc>
        <w:tc>
          <w:tcPr>
            <w:tcW w:w="3935" w:type="dxa"/>
            <w:tcBorders/>
            <w:shd w:fill="EDEDED" w:val="clear"/>
            <w:vAlign w:val="center"/>
          </w:tcPr>
          <w:p>
            <w:pPr>
              <w:pStyle w:val="TableContents"/>
              <w:bidi w:val="0"/>
              <w:spacing w:lineRule="atLeast" w:line="240" w:before="0" w:after="0"/>
              <w:jc w:val="center"/>
              <w:rPr>
                <w:rFonts w:ascii="Arial" w:hAnsi="Arial"/>
                <w:b/>
                <w:color w:val="191919"/>
                <w:sz w:val="20"/>
              </w:rPr>
            </w:pPr>
            <w:r>
              <w:rPr>
                <w:rFonts w:ascii="Arial" w:hAnsi="Arial"/>
                <w:b/>
                <w:color w:val="191919"/>
                <w:sz w:val="20"/>
              </w:rPr>
              <w:t>Location</w:t>
            </w:r>
          </w:p>
          <w:p>
            <w:pPr>
              <w:pStyle w:val="TableContents"/>
              <w:bidi w:val="0"/>
              <w:spacing w:lineRule="atLeast" w:line="260" w:before="0" w:after="0"/>
              <w:jc w:val="center"/>
              <w:rPr>
                <w:rFonts w:ascii="Arial" w:hAnsi="Arial"/>
                <w:color w:val="191919"/>
                <w:sz w:val="18"/>
              </w:rPr>
            </w:pPr>
            <w:r>
              <w:rPr>
                <w:rFonts w:ascii="Arial" w:hAnsi="Arial"/>
                <w:color w:val="191919"/>
                <w:sz w:val="18"/>
              </w:rPr>
              <w:t>Via live webcast at</w:t>
              <w:br/>
            </w:r>
            <w:r>
              <w:rPr>
                <w:rFonts w:ascii="Arial" w:hAnsi="Arial"/>
                <w:i/>
                <w:color w:val="191919"/>
                <w:sz w:val="18"/>
              </w:rPr>
              <w:t xml:space="preserve">www.virtualshareholdermeeting.com/CSW2026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45" w:type="dxa"/>
            <w:tcBorders/>
            <w:shd w:fill="EDEDED" w:val="clear"/>
            <w:vAlign w:val="center"/>
          </w:tcPr>
          <w:p>
            <w:pPr>
              <w:pStyle w:val="TableContents"/>
              <w:bidi w:val="0"/>
              <w:spacing w:lineRule="atLeast" w:line="240" w:before="0" w:after="0"/>
              <w:jc w:val="center"/>
              <w:rPr>
                <w:rFonts w:ascii="Arial" w:hAnsi="Arial"/>
                <w:b/>
                <w:color w:val="191919"/>
                <w:sz w:val="20"/>
              </w:rPr>
            </w:pPr>
            <w:r>
              <w:rPr>
                <w:rFonts w:ascii="Arial" w:hAnsi="Arial"/>
                <w:b/>
                <w:color w:val="191919"/>
                <w:sz w:val="20"/>
              </w:rPr>
              <w:t>Record Date</w:t>
            </w:r>
          </w:p>
          <w:p>
            <w:pPr>
              <w:pStyle w:val="TableContents"/>
              <w:bidi w:val="0"/>
              <w:spacing w:lineRule="atLeast" w:line="260" w:before="0" w:after="20"/>
              <w:jc w:val="center"/>
              <w:rPr>
                <w:rFonts w:ascii="Arial" w:hAnsi="Arial"/>
                <w:color w:val="191919"/>
                <w:sz w:val="18"/>
              </w:rPr>
            </w:pPr>
            <w:r>
              <w:rPr>
                <w:rFonts w:ascii="Arial" w:hAnsi="Arial"/>
                <w:color w:val="191919"/>
                <w:sz w:val="18"/>
              </w:rPr>
              <w:t>July 8, 2026</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191919"/>
          <w:sz w:val="26"/>
        </w:rPr>
      </w:pPr>
      <w:r>
        <w:rPr>
          <w:rFonts w:ascii="Arial" w:hAnsi="Arial"/>
          <w:b/>
          <w:color w:val="191919"/>
          <w:sz w:val="26"/>
        </w:rPr>
        <w:t xml:space="preserve">How to Vote </w:t>
      </w:r>
    </w:p>
    <w:p>
      <w:pPr>
        <w:pStyle w:val="TextBody"/>
        <w:bidi w:val="0"/>
        <w:spacing w:before="0" w:after="0"/>
        <w:jc w:val="left"/>
        <w:rPr/>
      </w:pPr>
      <w:r>
        <w:rPr/>
        <w:t> </w:t>
      </w:r>
    </w:p>
    <w:tbl>
      <w:tblPr>
        <w:tblW w:w="9996" w:type="dxa"/>
        <w:jc w:val="left"/>
        <w:tblInd w:w="0" w:type="dxa"/>
        <w:tblLayout w:type="fixed"/>
        <w:tblCellMar>
          <w:top w:w="0" w:type="dxa"/>
          <w:left w:w="0" w:type="dxa"/>
          <w:bottom w:w="0" w:type="dxa"/>
          <w:right w:w="0" w:type="dxa"/>
        </w:tblCellMar>
      </w:tblPr>
      <w:tblGrid>
        <w:gridCol w:w="38"/>
        <w:gridCol w:w="60"/>
        <w:gridCol w:w="2270"/>
        <w:gridCol w:w="60"/>
        <w:gridCol w:w="2195"/>
        <w:gridCol w:w="60"/>
        <w:gridCol w:w="2105"/>
        <w:gridCol w:w="60"/>
        <w:gridCol w:w="305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27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4020" cy="360680"/>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414020" cy="36068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219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89890" cy="529590"/>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389890" cy="52959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210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70205" cy="414020"/>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370205" cy="41402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305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26720" cy="434340"/>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426720" cy="43434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270" w:type="dxa"/>
            <w:tcBorders/>
            <w:shd w:fill="EDEDED" w:val="clear"/>
            <w:vAlign w:val="center"/>
          </w:tcPr>
          <w:p>
            <w:pPr>
              <w:pStyle w:val="TableContents"/>
              <w:bidi w:val="0"/>
              <w:spacing w:lineRule="atLeast" w:line="240" w:before="0" w:after="0"/>
              <w:jc w:val="center"/>
              <w:rPr>
                <w:rFonts w:ascii="Arial" w:hAnsi="Arial"/>
                <w:b/>
                <w:sz w:val="20"/>
              </w:rPr>
            </w:pPr>
            <w:r>
              <w:rPr>
                <w:rFonts w:ascii="Arial" w:hAnsi="Arial"/>
                <w:b/>
                <w:sz w:val="20"/>
              </w:rPr>
              <w:t>Via the Internet</w:t>
            </w:r>
          </w:p>
          <w:p>
            <w:pPr>
              <w:pStyle w:val="TableContents"/>
              <w:bidi w:val="0"/>
              <w:spacing w:lineRule="atLeast" w:line="260" w:before="0" w:after="0"/>
              <w:jc w:val="center"/>
              <w:rPr>
                <w:rFonts w:ascii="Arial" w:hAnsi="Arial"/>
                <w:color w:val="191919"/>
                <w:sz w:val="18"/>
              </w:rPr>
            </w:pPr>
            <w:r>
              <w:rPr>
                <w:rFonts w:ascii="Arial" w:hAnsi="Arial"/>
                <w:color w:val="191919"/>
                <w:sz w:val="18"/>
              </w:rPr>
              <w:t>Visit the website</w:t>
            </w:r>
          </w:p>
          <w:p>
            <w:pPr>
              <w:pStyle w:val="TableContents"/>
              <w:bidi w:val="0"/>
              <w:spacing w:lineRule="atLeast" w:line="260" w:before="0" w:after="0"/>
              <w:jc w:val="center"/>
              <w:rPr>
                <w:rFonts w:ascii="Arial" w:hAnsi="Arial"/>
                <w:color w:val="191919"/>
                <w:sz w:val="18"/>
              </w:rPr>
            </w:pPr>
            <w:r>
              <w:rPr>
                <w:rFonts w:ascii="Arial" w:hAnsi="Arial"/>
                <w:color w:val="191919"/>
                <w:sz w:val="18"/>
              </w:rPr>
              <w:t>shown on the Notice of</w:t>
              <w:br/>
              <w:t>Internet Availability of Proxy</w:t>
              <w:br/>
              <w:t>Materials or proxy card</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195" w:type="dxa"/>
            <w:tcBorders/>
            <w:shd w:fill="EDEDED" w:val="clear"/>
            <w:vAlign w:val="center"/>
          </w:tcPr>
          <w:p>
            <w:pPr>
              <w:pStyle w:val="TableContents"/>
              <w:bidi w:val="0"/>
              <w:spacing w:lineRule="atLeast" w:line="240" w:before="0" w:after="0"/>
              <w:jc w:val="center"/>
              <w:rPr>
                <w:rFonts w:ascii="Arial" w:hAnsi="Arial"/>
                <w:b/>
                <w:sz w:val="20"/>
              </w:rPr>
            </w:pPr>
            <w:r>
              <w:rPr>
                <w:rFonts w:ascii="Arial" w:hAnsi="Arial"/>
                <w:b/>
                <w:sz w:val="20"/>
              </w:rPr>
              <w:t>By Telephone</w:t>
            </w:r>
          </w:p>
          <w:p>
            <w:pPr>
              <w:pStyle w:val="TableContents"/>
              <w:bidi w:val="0"/>
              <w:spacing w:lineRule="atLeast" w:line="260" w:before="0" w:after="0"/>
              <w:jc w:val="center"/>
              <w:rPr>
                <w:rFonts w:ascii="Arial" w:hAnsi="Arial"/>
                <w:color w:val="191919"/>
                <w:sz w:val="18"/>
              </w:rPr>
            </w:pPr>
            <w:r>
              <w:rPr>
                <w:rFonts w:ascii="Arial" w:hAnsi="Arial"/>
                <w:color w:val="191919"/>
                <w:sz w:val="18"/>
              </w:rPr>
              <w:t>Call the telephone number</w:t>
              <w:br/>
              <w:t>shown on your proxy card</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105" w:type="dxa"/>
            <w:tcBorders/>
            <w:shd w:fill="EDEDED" w:val="clear"/>
            <w:vAlign w:val="center"/>
          </w:tcPr>
          <w:p>
            <w:pPr>
              <w:pStyle w:val="TableContents"/>
              <w:bidi w:val="0"/>
              <w:spacing w:lineRule="atLeast" w:line="240" w:before="0" w:after="0"/>
              <w:jc w:val="center"/>
              <w:rPr>
                <w:rFonts w:ascii="Arial" w:hAnsi="Arial"/>
                <w:b/>
                <w:sz w:val="20"/>
              </w:rPr>
            </w:pPr>
            <w:r>
              <w:rPr>
                <w:rFonts w:ascii="Arial" w:hAnsi="Arial"/>
                <w:b/>
                <w:sz w:val="20"/>
              </w:rPr>
              <w:t>By Mail</w:t>
            </w:r>
          </w:p>
          <w:p>
            <w:pPr>
              <w:pStyle w:val="TableContents"/>
              <w:bidi w:val="0"/>
              <w:spacing w:lineRule="atLeast" w:line="260" w:before="0" w:after="20"/>
              <w:jc w:val="center"/>
              <w:rPr>
                <w:rFonts w:ascii="Arial" w:hAnsi="Arial"/>
                <w:color w:val="191919"/>
                <w:sz w:val="18"/>
              </w:rPr>
            </w:pPr>
            <w:r>
              <w:rPr>
                <w:rFonts w:ascii="Arial" w:hAnsi="Arial"/>
                <w:color w:val="191919"/>
                <w:sz w:val="18"/>
              </w:rPr>
              <w:t>Complete, sign, date, and</w:t>
              <w:br/>
              <w:t>return your proxy card in</w:t>
              <w:br/>
              <w:t>the envelope provided</w:t>
            </w:r>
          </w:p>
        </w:tc>
        <w:tc>
          <w:tcPr>
            <w:tcW w:w="60" w:type="dxa"/>
            <w:tcBorders/>
            <w:shd w:fill="EDEDED" w:val="clear"/>
            <w:vAlign w:val="center"/>
          </w:tcPr>
          <w:p>
            <w:pPr>
              <w:pStyle w:val="TableContents"/>
              <w:bidi w:val="0"/>
              <w:spacing w:before="0" w:after="283"/>
              <w:jc w:val="left"/>
              <w:rPr/>
            </w:pPr>
            <w:r>
              <w:rPr/>
              <w:t> </w:t>
            </w:r>
          </w:p>
        </w:tc>
        <w:tc>
          <w:tcPr>
            <w:tcW w:w="3050" w:type="dxa"/>
            <w:tcBorders/>
            <w:shd w:fill="EDEDED" w:val="clear"/>
            <w:vAlign w:val="center"/>
          </w:tcPr>
          <w:p>
            <w:pPr>
              <w:pStyle w:val="TableContents"/>
              <w:bidi w:val="0"/>
              <w:spacing w:lineRule="atLeast" w:line="240" w:before="0" w:after="0"/>
              <w:jc w:val="center"/>
              <w:rPr>
                <w:rFonts w:ascii="Arial" w:hAnsi="Arial"/>
                <w:b/>
                <w:sz w:val="20"/>
              </w:rPr>
            </w:pPr>
            <w:r>
              <w:rPr>
                <w:rFonts w:ascii="Arial" w:hAnsi="Arial"/>
                <w:b/>
                <w:sz w:val="20"/>
              </w:rPr>
              <w:t>At the Meeting</w:t>
            </w:r>
          </w:p>
          <w:p>
            <w:pPr>
              <w:pStyle w:val="TableContents"/>
              <w:bidi w:val="0"/>
              <w:spacing w:lineRule="atLeast" w:line="260" w:before="0" w:after="0"/>
              <w:jc w:val="center"/>
              <w:rPr>
                <w:rFonts w:ascii="Arial" w:hAnsi="Arial"/>
                <w:color w:val="191919"/>
                <w:sz w:val="18"/>
              </w:rPr>
            </w:pPr>
            <w:r>
              <w:rPr>
                <w:rFonts w:ascii="Arial" w:hAnsi="Arial"/>
                <w:color w:val="191919"/>
                <w:sz w:val="18"/>
              </w:rPr>
              <w:t>Visit</w:t>
            </w:r>
          </w:p>
          <w:p>
            <w:pPr>
              <w:pStyle w:val="TableContents"/>
              <w:bidi w:val="0"/>
              <w:spacing w:lineRule="atLeast" w:line="260" w:before="0" w:after="20"/>
              <w:jc w:val="center"/>
              <w:rPr>
                <w:rFonts w:ascii="Arial" w:hAnsi="Arial"/>
                <w:color w:val="191919"/>
                <w:sz w:val="18"/>
              </w:rPr>
            </w:pPr>
            <w:r>
              <w:rPr>
                <w:rFonts w:ascii="Arial" w:hAnsi="Arial"/>
                <w:color w:val="191919"/>
                <w:sz w:val="18"/>
              </w:rPr>
              <w:t>www.virtualshareholdermeeting.com/</w:t>
              <w:br/>
              <w:t>CSW2026</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191919"/>
          <w:sz w:val="26"/>
        </w:rPr>
      </w:pPr>
      <w:r>
        <w:rPr>
          <w:rFonts w:ascii="Arial" w:hAnsi="Arial"/>
          <w:b/>
          <w:color w:val="191919"/>
          <w:sz w:val="26"/>
        </w:rPr>
        <w:t xml:space="preserve">Voting Matters and Board Recommendations </w:t>
      </w:r>
    </w:p>
    <w:p>
      <w:pPr>
        <w:pStyle w:val="TextBody"/>
        <w:bidi w:val="0"/>
        <w:spacing w:before="0" w:after="0"/>
        <w:jc w:val="left"/>
        <w:rPr/>
      </w:pPr>
      <w:r>
        <w:rPr/>
        <w:t> </w:t>
      </w:r>
    </w:p>
    <w:tbl>
      <w:tblPr>
        <w:tblW w:w="8384" w:type="dxa"/>
        <w:jc w:val="left"/>
        <w:tblInd w:w="0" w:type="dxa"/>
        <w:tblLayout w:type="fixed"/>
        <w:tblCellMar>
          <w:top w:w="0" w:type="dxa"/>
          <w:left w:w="0" w:type="dxa"/>
          <w:bottom w:w="0" w:type="dxa"/>
          <w:right w:w="0" w:type="dxa"/>
        </w:tblCellMar>
      </w:tblPr>
      <w:tblGrid>
        <w:gridCol w:w="3890"/>
        <w:gridCol w:w="120"/>
        <w:gridCol w:w="3140"/>
        <w:gridCol w:w="120"/>
        <w:gridCol w:w="66"/>
        <w:gridCol w:w="973"/>
        <w:gridCol w:w="75"/>
      </w:tblGrid>
      <w:tr>
        <w:trPr/>
        <w:tc>
          <w:tcPr>
            <w:tcW w:w="3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Proposal</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314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Board Recommendation</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39"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Page   </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3260" w:type="dxa"/>
            <w:gridSpan w:val="2"/>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0"/>
              <w:jc w:val="left"/>
              <w:rPr/>
            </w:pPr>
            <w:hyperlink w:anchor="txa136145_1">
              <w:r>
                <w:rPr>
                  <w:rStyle w:val="InternetLink"/>
                  <w:rFonts w:ascii="Arial" w:hAnsi="Arial"/>
                  <w:color w:val="191919"/>
                  <w:sz w:val="17"/>
                </w:rPr>
                <w:t xml:space="preserve">1. Election of Directors </w:t>
              </w:r>
            </w:hyperlink>
          </w:p>
        </w:tc>
        <w:tc>
          <w:tcPr>
            <w:tcW w:w="12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color w:val="191919"/>
              </w:rPr>
            </w:pPr>
            <w:r>
              <w:rPr>
                <w:color w:val="191919"/>
              </w:rPr>
              <w:t>   </w:t>
            </w:r>
            <w:r>
              <w:rPr>
                <w:b/>
                <w:color w:val="191919"/>
              </w:rPr>
              <w:t>FOR</w:t>
            </w:r>
            <w:r>
              <w:rPr>
                <w:color w:val="191919"/>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color w:val="191919"/>
              </w:rPr>
            </w:pPr>
            <w:r>
              <w:rPr>
                <w:color w:val="191919"/>
              </w:rPr>
              <w:t> </w:t>
            </w:r>
          </w:p>
        </w:tc>
        <w:tc>
          <w:tcPr>
            <w:tcW w:w="973" w:type="dxa"/>
            <w:tcBorders/>
            <w:vAlign w:val="center"/>
          </w:tcPr>
          <w:p>
            <w:pPr>
              <w:pStyle w:val="TableContents"/>
              <w:bidi w:val="0"/>
              <w:spacing w:before="0" w:after="283"/>
              <w:jc w:val="right"/>
              <w:rPr>
                <w:color w:val="191919"/>
              </w:rPr>
            </w:pPr>
            <w:r>
              <w:rPr>
                <w:color w:val="191919"/>
              </w:rPr>
              <w:t>9    </w:t>
            </w:r>
          </w:p>
        </w:tc>
        <w:tc>
          <w:tcPr>
            <w:tcW w:w="75" w:type="dxa"/>
            <w:tcBorders/>
            <w:vAlign w:val="center"/>
          </w:tcPr>
          <w:p>
            <w:pPr>
              <w:pStyle w:val="TableContents"/>
              <w:bidi w:val="0"/>
              <w:spacing w:before="0" w:after="283"/>
              <w:jc w:val="left"/>
              <w:rPr>
                <w:color w:val="191919"/>
              </w:rPr>
            </w:pPr>
            <w:r>
              <w:rPr>
                <w:color w:val="191919"/>
              </w:rPr>
              <w:t> </w:t>
            </w:r>
          </w:p>
        </w:tc>
      </w:tr>
      <w:tr>
        <w:trPr/>
        <w:tc>
          <w:tcPr>
            <w:tcW w:w="3890" w:type="dxa"/>
            <w:tcBorders/>
            <w:shd w:fill="EDEDED" w:val="clear"/>
            <w:vAlign w:val="center"/>
          </w:tcPr>
          <w:p>
            <w:pPr>
              <w:pStyle w:val="TableContents"/>
              <w:bidi w:val="0"/>
              <w:spacing w:before="0" w:after="283"/>
              <w:jc w:val="left"/>
              <w:rPr>
                <w:sz w:val="4"/>
                <w:szCs w:val="4"/>
              </w:rPr>
            </w:pPr>
            <w:r>
              <w:rPr>
                <w:sz w:val="4"/>
                <w:szCs w:val="4"/>
              </w:rPr>
            </w:r>
          </w:p>
        </w:tc>
        <w:tc>
          <w:tcPr>
            <w:tcW w:w="3260" w:type="dxa"/>
            <w:gridSpan w:val="2"/>
            <w:tcBorders/>
            <w:shd w:fill="EDEDED" w:val="clear"/>
            <w:vAlign w:val="center"/>
          </w:tcPr>
          <w:p>
            <w:pPr>
              <w:pStyle w:val="TableContents"/>
              <w:bidi w:val="0"/>
              <w:spacing w:before="0" w:after="283"/>
              <w:jc w:val="left"/>
              <w:rPr>
                <w:sz w:val="4"/>
                <w:szCs w:val="4"/>
              </w:rPr>
            </w:pPr>
            <w:r>
              <w:rPr>
                <w:sz w:val="4"/>
                <w:szCs w:val="4"/>
              </w:rPr>
            </w:r>
          </w:p>
        </w:tc>
        <w:tc>
          <w:tcPr>
            <w:tcW w:w="1234"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90" w:type="dxa"/>
            <w:tcBorders/>
            <w:shd w:fill="EDEDED" w:val="clear"/>
            <w:vAlign w:val="center"/>
          </w:tcPr>
          <w:p>
            <w:pPr>
              <w:pStyle w:val="TableContents"/>
              <w:bidi w:val="0"/>
              <w:spacing w:before="0" w:after="0"/>
              <w:jc w:val="left"/>
              <w:rPr/>
            </w:pPr>
            <w:hyperlink w:anchor="txa136145_2">
              <w:r>
                <w:rPr>
                  <w:rStyle w:val="InternetLink"/>
                  <w:rFonts w:ascii="Arial" w:hAnsi="Arial"/>
                  <w:color w:val="191919"/>
                  <w:sz w:val="17"/>
                </w:rPr>
                <w:t xml:space="preserve">2. Advisory Vote on Executive Compensation </w:t>
              </w:r>
            </w:hyperlink>
          </w:p>
        </w:tc>
        <w:tc>
          <w:tcPr>
            <w:tcW w:w="120" w:type="dxa"/>
            <w:tcBorders/>
            <w:shd w:fill="EDEDED" w:val="clear"/>
            <w:vAlign w:val="center"/>
          </w:tcPr>
          <w:p>
            <w:pPr>
              <w:pStyle w:val="TableContents"/>
              <w:bidi w:val="0"/>
              <w:spacing w:before="0" w:after="283"/>
              <w:jc w:val="left"/>
              <w:rPr/>
            </w:pPr>
            <w:r>
              <w:rPr/>
              <w:t>  </w:t>
            </w:r>
          </w:p>
        </w:tc>
        <w:tc>
          <w:tcPr>
            <w:tcW w:w="3140" w:type="dxa"/>
            <w:tcBorders/>
            <w:shd w:fill="EDEDED" w:val="clear"/>
            <w:vAlign w:val="center"/>
          </w:tcPr>
          <w:p>
            <w:pPr>
              <w:pStyle w:val="TableContents"/>
              <w:bidi w:val="0"/>
              <w:spacing w:before="0" w:after="283"/>
              <w:jc w:val="left"/>
              <w:rPr>
                <w:color w:val="191919"/>
              </w:rPr>
            </w:pPr>
            <w:r>
              <w:rPr>
                <w:color w:val="191919"/>
              </w:rPr>
              <w:t>   </w:t>
            </w:r>
            <w:r>
              <w:rPr>
                <w:b/>
                <w:color w:val="191919"/>
              </w:rPr>
              <w:t>FOR</w:t>
            </w:r>
          </w:p>
        </w:tc>
        <w:tc>
          <w:tcPr>
            <w:tcW w:w="120"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color w:val="191919"/>
              </w:rPr>
            </w:pPr>
            <w:r>
              <w:rPr>
                <w:color w:val="191919"/>
              </w:rPr>
              <w:t> </w:t>
            </w:r>
          </w:p>
        </w:tc>
        <w:tc>
          <w:tcPr>
            <w:tcW w:w="973" w:type="dxa"/>
            <w:tcBorders/>
            <w:shd w:fill="EDEDED" w:val="clear"/>
            <w:vAlign w:val="center"/>
          </w:tcPr>
          <w:p>
            <w:pPr>
              <w:pStyle w:val="TableContents"/>
              <w:bidi w:val="0"/>
              <w:spacing w:before="0" w:after="283"/>
              <w:jc w:val="right"/>
              <w:rPr>
                <w:color w:val="191919"/>
              </w:rPr>
            </w:pPr>
            <w:r>
              <w:rPr>
                <w:color w:val="191919"/>
              </w:rPr>
              <w:t>30    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890" w:type="dxa"/>
            <w:tcBorders/>
            <w:vAlign w:val="center"/>
          </w:tcPr>
          <w:p>
            <w:pPr>
              <w:pStyle w:val="TableContents"/>
              <w:bidi w:val="0"/>
              <w:spacing w:before="0" w:after="283"/>
              <w:jc w:val="left"/>
              <w:rPr>
                <w:sz w:val="4"/>
                <w:szCs w:val="4"/>
              </w:rPr>
            </w:pPr>
            <w:r>
              <w:rPr>
                <w:sz w:val="4"/>
                <w:szCs w:val="4"/>
              </w:rPr>
            </w:r>
          </w:p>
        </w:tc>
        <w:tc>
          <w:tcPr>
            <w:tcW w:w="3260" w:type="dxa"/>
            <w:gridSpan w:val="2"/>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r>
      <w:tr>
        <w:trPr/>
        <w:tc>
          <w:tcPr>
            <w:tcW w:w="3890" w:type="dxa"/>
            <w:tcBorders>
              <w:bottom w:val="single" w:sz="6" w:space="0" w:color="7DB655"/>
            </w:tcBorders>
            <w:tcMar>
              <w:bottom w:w="60" w:type="dxa"/>
            </w:tcMar>
            <w:vAlign w:val="center"/>
          </w:tcPr>
          <w:p>
            <w:pPr>
              <w:pStyle w:val="TableContents"/>
              <w:bidi w:val="0"/>
              <w:spacing w:before="0" w:after="0"/>
              <w:jc w:val="left"/>
              <w:rPr/>
            </w:pPr>
            <w:hyperlink w:anchor="txa136145_3b">
              <w:r>
                <w:rPr>
                  <w:rStyle w:val="InternetLink"/>
                  <w:rFonts w:ascii="Arial" w:hAnsi="Arial"/>
                  <w:color w:val="191919"/>
                  <w:sz w:val="17"/>
                </w:rPr>
                <w:t xml:space="preserve">3. Ratification of Independent Public Accounting Firm </w:t>
              </w:r>
            </w:hyperlink>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314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r>
              <w:rPr>
                <w:b/>
                <w:color w:val="191919"/>
              </w:rPr>
              <w:t>FOR</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6"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973" w:type="dxa"/>
            <w:tcBorders>
              <w:bottom w:val="single" w:sz="6" w:space="0" w:color="7DB655"/>
            </w:tcBorders>
            <w:tcMar>
              <w:bottom w:w="60" w:type="dxa"/>
            </w:tcMar>
            <w:vAlign w:val="center"/>
          </w:tcPr>
          <w:p>
            <w:pPr>
              <w:pStyle w:val="TableContents"/>
              <w:bidi w:val="0"/>
              <w:spacing w:before="0" w:after="283"/>
              <w:jc w:val="right"/>
              <w:rPr>
                <w:color w:val="191919"/>
              </w:rPr>
            </w:pPr>
            <w:r>
              <w:rPr>
                <w:color w:val="191919"/>
              </w:rPr>
              <w:t>70    </w:t>
            </w:r>
          </w:p>
        </w:tc>
        <w:tc>
          <w:tcPr>
            <w:tcW w:w="75"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r>
    </w:tbl>
    <w:p>
      <w:pPr>
        <w:pStyle w:val="TextBody"/>
        <w:bidi w:val="0"/>
        <w:spacing w:before="240" w:after="0"/>
        <w:jc w:val="left"/>
        <w:rPr>
          <w:rFonts w:ascii="Arial" w:hAnsi="Arial"/>
          <w:color w:val="191919"/>
          <w:sz w:val="18"/>
        </w:rPr>
      </w:pPr>
      <w:r>
        <w:rPr>
          <w:rFonts w:ascii="Arial" w:hAnsi="Arial"/>
          <w:color w:val="191919"/>
          <w:sz w:val="18"/>
        </w:rPr>
        <w:t xml:space="preserve">We may also transact any other business that may properly come before the Annual Meeting. As of the date of this Proxy Statement, we are not aware of any other business to be presented for consideration other than the matters described in this Proxy Statement. </w:t>
      </w:r>
    </w:p>
    <w:p>
      <w:pPr>
        <w:pStyle w:val="TextBody"/>
        <w:bidi w:val="0"/>
        <w:spacing w:before="0" w:after="0"/>
        <w:jc w:val="left"/>
        <w:rPr/>
      </w:pPr>
      <w:r>
        <w:rPr/>
        <w:t> </w:t>
      </w:r>
    </w:p>
    <w:tbl>
      <w:tblPr>
        <w:tblW w:w="3753" w:type="dxa"/>
        <w:jc w:val="left"/>
        <w:tblInd w:w="0" w:type="dxa"/>
        <w:tblLayout w:type="fixed"/>
        <w:tblCellMar>
          <w:top w:w="0" w:type="dxa"/>
          <w:left w:w="0" w:type="dxa"/>
          <w:bottom w:w="0" w:type="dxa"/>
          <w:right w:w="0" w:type="dxa"/>
        </w:tblCellMar>
      </w:tblPr>
      <w:tblGrid>
        <w:gridCol w:w="75"/>
        <w:gridCol w:w="125"/>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sz w:val="20"/>
              </w:rPr>
            </w:pPr>
            <w:r>
              <w:rPr>
                <w:sz w:val="20"/>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Proxy Statement Summary </w:t>
      </w:r>
    </w:p>
    <w:p>
      <w:pPr>
        <w:pStyle w:val="TextBody"/>
        <w:bidi w:val="0"/>
        <w:spacing w:before="0" w:after="0"/>
        <w:jc w:val="right"/>
        <w:rPr>
          <w:rFonts w:ascii="Arial" w:hAnsi="Arial"/>
          <w:sz w:val="16"/>
        </w:rPr>
      </w:pPr>
      <w:r>
        <w:rPr>
          <w:rFonts w:ascii="Arial" w:hAnsi="Arial"/>
          <w:sz w:val="16"/>
        </w:rPr>
        <w:t xml:space="preserve">Shareholder Engagement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r>
        <w:rPr>
          <w:rFonts w:ascii="Arial" w:hAnsi="Arial"/>
          <w:b/>
          <w:color w:val="7DB655"/>
          <w:sz w:val="30"/>
        </w:rPr>
        <w:t xml:space="preserve">Shareholder Engagement </w:t>
      </w:r>
    </w:p>
    <w:p>
      <w:pPr>
        <w:pStyle w:val="TextBody"/>
        <w:bidi w:val="0"/>
        <w:spacing w:before="240" w:after="0"/>
        <w:jc w:val="left"/>
        <w:rPr>
          <w:rFonts w:ascii="Arial" w:hAnsi="Arial"/>
          <w:color w:val="191919"/>
          <w:sz w:val="18"/>
        </w:rPr>
      </w:pPr>
      <w:r>
        <w:rPr>
          <w:rFonts w:ascii="Arial" w:hAnsi="Arial"/>
          <w:color w:val="191919"/>
          <w:sz w:val="18"/>
        </w:rPr>
        <w:t xml:space="preserve">We are actively engaged with our investors. Our senior leaders participate in numerous industry and analyst conferences throughout the year, and we have dedicated resources to engage with all shareholders through a variety of mediums. This focus on engagement was again demonstrated in the context of executive compensation matters, which is discussed further within the “Compensation Discussion and Analysis” section of this Proxy Statement. The table below summarizes our engagement efforts in fiscal 2026.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34"/>
        <w:gridCol w:w="60"/>
        <w:gridCol w:w="1382"/>
        <w:gridCol w:w="60"/>
        <w:gridCol w:w="5667"/>
        <w:gridCol w:w="60"/>
        <w:gridCol w:w="1942"/>
      </w:tblGrid>
      <w:tr>
        <w:trPr/>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shd w:fill="7DB655" w:val="clear"/>
            <w:vAlign w:val="center"/>
          </w:tcPr>
          <w:p>
            <w:pPr>
              <w:pStyle w:val="TableContents"/>
              <w:bidi w:val="0"/>
              <w:spacing w:lineRule="atLeast" w:line="142" w:before="0" w:after="0"/>
              <w:jc w:val="left"/>
              <w:rPr/>
            </w:pPr>
            <w:r>
              <w:rPr/>
              <w:t> </w:t>
            </w:r>
          </w:p>
        </w:tc>
        <w:tc>
          <w:tcPr>
            <w:tcW w:w="60" w:type="dxa"/>
            <w:tcBorders>
              <w:left w:val="single" w:sz="6" w:space="0" w:color="000000"/>
            </w:tcBorders>
            <w:shd w:fill="0A7DAC" w:val="clear"/>
            <w:tcMar>
              <w:left w:w="28" w:type="dxa"/>
            </w:tcMar>
            <w:vAlign w:val="center"/>
          </w:tcPr>
          <w:p>
            <w:pPr>
              <w:pStyle w:val="TableContents"/>
              <w:bidi w:val="0"/>
              <w:spacing w:before="0" w:after="283"/>
              <w:jc w:val="left"/>
              <w:rPr/>
            </w:pPr>
            <w:r>
              <w:rPr/>
              <w:t> </w:t>
            </w:r>
          </w:p>
        </w:tc>
        <w:tc>
          <w:tcPr>
            <w:tcW w:w="5667" w:type="dxa"/>
            <w:tcBorders>
              <w:right w:val="single" w:sz="6" w:space="0" w:color="000000"/>
            </w:tcBorders>
            <w:shd w:fill="0A7DAC" w:val="clear"/>
            <w:tcMar>
              <w:right w:w="28" w:type="dxa"/>
            </w:tcMar>
            <w:vAlign w:val="center"/>
          </w:tcPr>
          <w:p>
            <w:pPr>
              <w:pStyle w:val="TableContents"/>
              <w:bidi w:val="0"/>
              <w:spacing w:lineRule="atLeast" w:line="142" w:before="0" w:after="0"/>
              <w:jc w:val="right"/>
              <w:rPr/>
            </w:pPr>
            <w:r>
              <w:rPr/>
              <w:t> </w:t>
            </w:r>
          </w:p>
        </w:tc>
        <w:tc>
          <w:tcPr>
            <w:tcW w:w="60" w:type="dxa"/>
            <w:tcBorders/>
            <w:shd w:fill="FF9119" w:val="clear"/>
            <w:vAlign w:val="center"/>
          </w:tcPr>
          <w:p>
            <w:pPr>
              <w:pStyle w:val="TableContents"/>
              <w:bidi w:val="0"/>
              <w:spacing w:before="0" w:after="283"/>
              <w:jc w:val="left"/>
              <w:rPr/>
            </w:pPr>
            <w:r>
              <w:rPr/>
              <w:t> </w:t>
            </w:r>
          </w:p>
        </w:tc>
        <w:tc>
          <w:tcPr>
            <w:tcW w:w="1942" w:type="dxa"/>
            <w:tcBorders/>
            <w:shd w:fill="FF9119" w:val="clear"/>
            <w:vAlign w:val="center"/>
          </w:tcPr>
          <w:p>
            <w:pPr>
              <w:pStyle w:val="TableContents"/>
              <w:bidi w:val="0"/>
              <w:spacing w:lineRule="atLeast" w:line="142" w:before="0" w:after="0"/>
              <w:jc w:val="right"/>
              <w:rPr/>
            </w:pPr>
            <w:r>
              <w:rPr/>
              <w:t> </w:t>
            </w:r>
          </w:p>
        </w:tc>
      </w:tr>
      <w:tr>
        <w:trPr/>
        <w:tc>
          <w:tcPr>
            <w:tcW w:w="2476" w:type="dxa"/>
            <w:gridSpan w:val="3"/>
            <w:tcBorders/>
            <w:shd w:fill="F5F9F3" w:val="clear"/>
            <w:vAlign w:val="center"/>
          </w:tcPr>
          <w:p>
            <w:pPr>
              <w:pStyle w:val="TableContents"/>
              <w:bidi w:val="0"/>
              <w:spacing w:before="0" w:after="0"/>
              <w:jc w:val="left"/>
              <w:rPr/>
            </w:pPr>
            <w:r>
              <w:rPr/>
              <w:t> </w:t>
            </w:r>
          </w:p>
          <w:p>
            <w:pPr>
              <w:pStyle w:val="TableContents"/>
              <w:bidi w:val="0"/>
              <w:spacing w:lineRule="atLeast" w:line="200" w:before="0" w:after="0"/>
              <w:jc w:val="left"/>
              <w:rPr>
                <w:rFonts w:ascii="Arial" w:hAnsi="Arial"/>
                <w:b/>
                <w:color w:val="191919"/>
                <w:sz w:val="20"/>
              </w:rPr>
            </w:pPr>
            <w:r>
              <w:rPr>
                <w:rFonts w:ascii="Arial" w:hAnsi="Arial"/>
                <w:b/>
                <w:color w:val="191919"/>
                <w:sz w:val="20"/>
              </w:rPr>
              <w:t>In fiscal 2026, we met with</w:t>
            </w:r>
          </w:p>
          <w:p>
            <w:pPr>
              <w:pStyle w:val="TableContents"/>
              <w:bidi w:val="0"/>
              <w:spacing w:lineRule="atLeast" w:line="200" w:before="0" w:after="0"/>
              <w:jc w:val="left"/>
              <w:rPr>
                <w:rFonts w:ascii="Arial" w:hAnsi="Arial"/>
                <w:b/>
                <w:color w:val="191919"/>
                <w:sz w:val="20"/>
              </w:rPr>
            </w:pPr>
            <w:r>
              <w:rPr>
                <w:rFonts w:ascii="Arial" w:hAnsi="Arial"/>
                <w:b/>
                <w:color w:val="191919"/>
                <w:sz w:val="20"/>
              </w:rPr>
              <w:t>investors representing</w:t>
            </w:r>
          </w:p>
          <w:p>
            <w:pPr>
              <w:pStyle w:val="TableContents"/>
              <w:bidi w:val="0"/>
              <w:spacing w:before="0" w:after="20"/>
              <w:jc w:val="left"/>
              <w:rPr/>
            </w:pPr>
            <w:r>
              <w:rPr/>
              <w:t> </w:t>
            </w:r>
          </w:p>
        </w:tc>
        <w:tc>
          <w:tcPr>
            <w:tcW w:w="60" w:type="dxa"/>
            <w:tcBorders>
              <w:left w:val="single" w:sz="6" w:space="0" w:color="000000"/>
            </w:tcBorders>
            <w:shd w:fill="EDF5F9" w:val="clear"/>
            <w:tcMar>
              <w:left w:w="28" w:type="dxa"/>
            </w:tcMar>
            <w:vAlign w:val="center"/>
          </w:tcPr>
          <w:p>
            <w:pPr>
              <w:pStyle w:val="TableContents"/>
              <w:bidi w:val="0"/>
              <w:spacing w:before="0" w:after="283"/>
              <w:jc w:val="left"/>
              <w:rPr/>
            </w:pPr>
            <w:r>
              <w:rPr/>
              <w:t> </w:t>
            </w:r>
          </w:p>
        </w:tc>
        <w:tc>
          <w:tcPr>
            <w:tcW w:w="5667" w:type="dxa"/>
            <w:tcBorders>
              <w:right w:val="single" w:sz="6" w:space="0" w:color="000000"/>
            </w:tcBorders>
            <w:shd w:fill="EDF5F9" w:val="clear"/>
            <w:tcMar>
              <w:right w:w="28" w:type="dxa"/>
            </w:tcMar>
            <w:vAlign w:val="center"/>
          </w:tcPr>
          <w:p>
            <w:pPr>
              <w:pStyle w:val="TableContents"/>
              <w:bidi w:val="0"/>
              <w:spacing w:before="0" w:after="0"/>
              <w:jc w:val="left"/>
              <w:rPr/>
            </w:pPr>
            <w:r>
              <w:rPr/>
              <w:t> </w:t>
            </w:r>
          </w:p>
          <w:p>
            <w:pPr>
              <w:pStyle w:val="TableContents"/>
              <w:bidi w:val="0"/>
              <w:spacing w:lineRule="atLeast" w:line="200" w:before="0" w:after="0"/>
              <w:jc w:val="left"/>
              <w:rPr>
                <w:rFonts w:ascii="Arial" w:hAnsi="Arial"/>
                <w:b/>
                <w:color w:val="191919"/>
                <w:sz w:val="20"/>
              </w:rPr>
            </w:pPr>
            <w:r>
              <w:rPr>
                <w:rFonts w:ascii="Arial" w:hAnsi="Arial"/>
                <w:b/>
                <w:color w:val="191919"/>
                <w:sz w:val="20"/>
              </w:rPr>
              <w:t>How we engage</w:t>
            </w:r>
          </w:p>
          <w:p>
            <w:pPr>
              <w:pStyle w:val="TableContents"/>
              <w:bidi w:val="0"/>
              <w:spacing w:lineRule="atLeast" w:line="200" w:before="0" w:after="0"/>
              <w:jc w:val="left"/>
              <w:rPr>
                <w:rFonts w:ascii="Arial" w:hAnsi="Arial"/>
                <w:b/>
                <w:color w:val="191919"/>
                <w:sz w:val="20"/>
              </w:rPr>
            </w:pPr>
            <w:r>
              <w:rPr>
                <w:rFonts w:ascii="Arial" w:hAnsi="Arial"/>
                <w:b/>
                <w:color w:val="191919"/>
                <w:sz w:val="20"/>
              </w:rPr>
              <w:t>with investors</w:t>
            </w:r>
          </w:p>
          <w:p>
            <w:pPr>
              <w:pStyle w:val="TableContents"/>
              <w:bidi w:val="0"/>
              <w:spacing w:before="0" w:after="20"/>
              <w:jc w:val="left"/>
              <w:rPr/>
            </w:pPr>
            <w:r>
              <w:rPr/>
              <w:t> </w:t>
            </w:r>
          </w:p>
        </w:tc>
        <w:tc>
          <w:tcPr>
            <w:tcW w:w="60" w:type="dxa"/>
            <w:tcBorders/>
            <w:shd w:fill="FFF7EE" w:val="clear"/>
            <w:vAlign w:val="center"/>
          </w:tcPr>
          <w:p>
            <w:pPr>
              <w:pStyle w:val="TableContents"/>
              <w:bidi w:val="0"/>
              <w:spacing w:before="0" w:after="283"/>
              <w:jc w:val="left"/>
              <w:rPr/>
            </w:pPr>
            <w:r>
              <w:rPr/>
              <w:t> </w:t>
            </w:r>
          </w:p>
        </w:tc>
        <w:tc>
          <w:tcPr>
            <w:tcW w:w="1942" w:type="dxa"/>
            <w:tcBorders/>
            <w:shd w:fill="FFF7EE" w:val="clear"/>
            <w:vAlign w:val="center"/>
          </w:tcPr>
          <w:p>
            <w:pPr>
              <w:pStyle w:val="TableContents"/>
              <w:bidi w:val="0"/>
              <w:spacing w:before="0" w:after="0"/>
              <w:jc w:val="left"/>
              <w:rPr/>
            </w:pPr>
            <w:r>
              <w:rPr/>
              <w:t> </w:t>
            </w:r>
          </w:p>
          <w:p>
            <w:pPr>
              <w:pStyle w:val="TableContents"/>
              <w:bidi w:val="0"/>
              <w:spacing w:lineRule="atLeast" w:line="200" w:before="0" w:after="0"/>
              <w:jc w:val="left"/>
              <w:rPr>
                <w:rFonts w:ascii="Arial" w:hAnsi="Arial"/>
                <w:b/>
                <w:color w:val="191919"/>
                <w:sz w:val="20"/>
              </w:rPr>
            </w:pPr>
            <w:r>
              <w:rPr>
                <w:rFonts w:ascii="Arial" w:hAnsi="Arial"/>
                <w:b/>
                <w:color w:val="191919"/>
                <w:sz w:val="20"/>
              </w:rPr>
              <w:t>Topics regularly discussed</w:t>
            </w:r>
          </w:p>
          <w:p>
            <w:pPr>
              <w:pStyle w:val="TableContents"/>
              <w:bidi w:val="0"/>
              <w:spacing w:lineRule="atLeast" w:line="200" w:before="0" w:after="0"/>
              <w:jc w:val="left"/>
              <w:rPr>
                <w:rFonts w:ascii="Arial" w:hAnsi="Arial"/>
                <w:b/>
                <w:color w:val="191919"/>
                <w:sz w:val="20"/>
              </w:rPr>
            </w:pPr>
            <w:r>
              <w:rPr>
                <w:rFonts w:ascii="Arial" w:hAnsi="Arial"/>
                <w:b/>
                <w:color w:val="191919"/>
                <w:sz w:val="20"/>
              </w:rPr>
              <w:t>with investors</w:t>
            </w:r>
          </w:p>
          <w:p>
            <w:pPr>
              <w:pStyle w:val="TableContents"/>
              <w:bidi w:val="0"/>
              <w:spacing w:before="0" w:after="20"/>
              <w:jc w:val="left"/>
              <w:rPr/>
            </w:pPr>
            <w:r>
              <w:rPr/>
              <w:t> </w:t>
            </w:r>
          </w:p>
        </w:tc>
      </w:tr>
      <w:tr>
        <w:trPr/>
        <w:tc>
          <w:tcPr>
            <w:tcW w:w="1034"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29920" cy="629920"/>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629920" cy="6299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jc w:val="left"/>
              <w:rPr>
                <w:rFonts w:ascii="Arial" w:hAnsi="Arial"/>
                <w:b/>
                <w:color w:val="7DB655"/>
                <w:sz w:val="48"/>
              </w:rPr>
            </w:pPr>
            <w:r>
              <w:rPr>
                <w:rFonts w:ascii="Arial" w:hAnsi="Arial"/>
                <w:b/>
                <w:color w:val="7DB655"/>
                <w:sz w:val="48"/>
              </w:rPr>
              <w:t>66%</w:t>
            </w:r>
          </w:p>
          <w:p>
            <w:pPr>
              <w:pStyle w:val="TableContents"/>
              <w:bidi w:val="0"/>
              <w:spacing w:before="0" w:after="20"/>
              <w:jc w:val="left"/>
              <w:rPr>
                <w:rFonts w:ascii="Arial" w:hAnsi="Arial"/>
                <w:color w:val="191919"/>
                <w:sz w:val="18"/>
              </w:rPr>
            </w:pPr>
            <w:r>
              <w:rPr>
                <w:rFonts w:ascii="Arial" w:hAnsi="Arial"/>
                <w:color w:val="191919"/>
                <w:sz w:val="18"/>
              </w:rPr>
              <w:t>of our outstanding shares</w:t>
            </w:r>
          </w:p>
        </w:tc>
        <w:tc>
          <w:tcPr>
            <w:tcW w:w="6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667" w:type="dxa"/>
            <w:vMerge w:val="restart"/>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We engage with analysts and shareholders through investor and analyst conferences, non-deal road shows, quarterly earnings calls, our investor relations website, and individual visits, meetings, and calls</w:t>
            </w:r>
          </w:p>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We regularly report our investors’ views, comments, and concerns to our Board of Directors, and all of our Board committees consider these perspectives in conducting committee business</w:t>
            </w:r>
          </w:p>
        </w:tc>
        <w:tc>
          <w:tcPr>
            <w:tcW w:w="60" w:type="dxa"/>
            <w:vMerge w:val="restart"/>
            <w:tcBorders>
              <w:bottom w:val="single" w:sz="6" w:space="0" w:color="000000"/>
            </w:tcBorders>
            <w:tcMar>
              <w:bottom w:w="28" w:type="dxa"/>
            </w:tcMar>
            <w:vAlign w:val="center"/>
          </w:tcPr>
          <w:p>
            <w:pPr>
              <w:pStyle w:val="TableContents"/>
              <w:bidi w:val="0"/>
              <w:spacing w:before="0" w:after="283"/>
              <w:jc w:val="left"/>
              <w:rPr/>
            </w:pPr>
            <w:r>
              <w:rPr/>
              <w:t> </w:t>
            </w:r>
          </w:p>
        </w:tc>
        <w:tc>
          <w:tcPr>
            <w:tcW w:w="1942" w:type="dxa"/>
            <w:vMerge w:val="restart"/>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Capital allocation</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Strategy and risk management</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Macro trends and long-term outlook</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Financial performance</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Segment performance</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Corporate governance</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Senior leadership team</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Employee engagement</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Margin leverage; pricing</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Executive compensation</w:t>
            </w:r>
          </w:p>
          <w:p>
            <w:pPr>
              <w:pStyle w:val="TableContents"/>
              <w:bidi w:val="0"/>
              <w:spacing w:before="0" w:after="0"/>
              <w:jc w:val="left"/>
              <w:rPr/>
            </w:pPr>
            <w:r>
              <w:rPr/>
              <w:t> </w:t>
            </w:r>
          </w:p>
          <w:p>
            <w:pPr>
              <w:pStyle w:val="TableContents"/>
              <w:bidi w:val="0"/>
              <w:spacing w:before="0" w:after="0"/>
              <w:jc w:val="left"/>
              <w:rPr>
                <w:color w:val="191919"/>
              </w:rPr>
            </w:pPr>
            <w:r>
              <w:rPr>
                <w:color w:val="FF9119"/>
              </w:rPr>
              <w:t>•</w:t>
            </w:r>
            <w:r>
              <w:rPr>
                <w:color w:val="191919"/>
              </w:rPr>
              <w:t> </w:t>
            </w:r>
            <w:r>
              <w:rPr>
                <w:rFonts w:ascii="Arial" w:hAnsi="Arial"/>
                <w:color w:val="191919"/>
                <w:sz w:val="18"/>
              </w:rPr>
              <w:t>Environmental and sustainability matters</w:t>
            </w:r>
          </w:p>
          <w:p>
            <w:pPr>
              <w:pStyle w:val="TableContents"/>
              <w:bidi w:val="0"/>
              <w:spacing w:before="0" w:after="20"/>
              <w:jc w:val="left"/>
              <w:rPr/>
            </w:pPr>
            <w:r>
              <w:rPr/>
              <w:t> </w:t>
            </w:r>
          </w:p>
        </w:tc>
      </w:tr>
      <w:tr>
        <w:trPr/>
        <w:tc>
          <w:tcPr>
            <w:tcW w:w="1034"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636270" cy="636270"/>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636270" cy="6362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0"/>
              <w:jc w:val="left"/>
              <w:rPr>
                <w:rFonts w:ascii="Arial" w:hAnsi="Arial"/>
                <w:b/>
                <w:color w:val="7DB655"/>
                <w:sz w:val="48"/>
              </w:rPr>
            </w:pPr>
            <w:r>
              <w:rPr>
                <w:rFonts w:ascii="Arial" w:hAnsi="Arial"/>
                <w:b/>
                <w:color w:val="7DB655"/>
                <w:sz w:val="48"/>
              </w:rPr>
              <w:t xml:space="preserve">72% </w:t>
            </w:r>
          </w:p>
          <w:p>
            <w:pPr>
              <w:pStyle w:val="TableContents"/>
              <w:bidi w:val="0"/>
              <w:spacing w:before="0" w:after="20"/>
              <w:jc w:val="left"/>
              <w:rPr>
                <w:rFonts w:ascii="Arial" w:hAnsi="Arial"/>
                <w:color w:val="191919"/>
                <w:sz w:val="18"/>
              </w:rPr>
            </w:pPr>
            <w:r>
              <w:rPr>
                <w:rFonts w:ascii="Arial" w:hAnsi="Arial"/>
                <w:color w:val="191919"/>
                <w:sz w:val="18"/>
              </w:rPr>
              <w:t>of our actively held shares</w:t>
            </w:r>
          </w:p>
        </w:tc>
        <w:tc>
          <w:tcPr>
            <w:tcW w:w="6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5667" w:type="dxa"/>
            <w:vMerge w:val="continue"/>
            <w:tcBorders>
              <w:bottom w:val="single" w:sz="6" w:space="0" w:color="000000"/>
              <w:right w:val="single" w:sz="6" w:space="0" w:color="000000"/>
            </w:tcBorders>
            <w:tcMar>
              <w:bottom w:w="28" w:type="dxa"/>
              <w:right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942" w:type="dxa"/>
            <w:vMerge w:val="continue"/>
            <w:tcBorders>
              <w:bottom w:val="single" w:sz="6" w:space="0" w:color="000000"/>
            </w:tcBorders>
            <w:tcMar>
              <w:bottom w:w="28" w:type="dxa"/>
            </w:tcMar>
            <w:vAlign w:val="center"/>
          </w:tcPr>
          <w:p>
            <w:pPr>
              <w:pStyle w:val="Normal"/>
              <w:bidi w:val="0"/>
              <w:jc w:val="left"/>
              <w:rPr/>
            </w:pPr>
            <w:r>
              <w:rPr/>
            </w:r>
          </w:p>
        </w:tc>
      </w:tr>
      <w:tr>
        <w:trPr/>
        <w:tc>
          <w:tcPr>
            <w:tcW w:w="1034"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636270" cy="63627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636270" cy="63627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2" w:type="dxa"/>
            <w:tcBorders>
              <w:bottom w:val="single" w:sz="6" w:space="0" w:color="000000"/>
            </w:tcBorders>
            <w:tcMar>
              <w:bottom w:w="28" w:type="dxa"/>
            </w:tcMar>
            <w:vAlign w:val="center"/>
          </w:tcPr>
          <w:p>
            <w:pPr>
              <w:pStyle w:val="TableContents"/>
              <w:bidi w:val="0"/>
              <w:spacing w:before="0" w:after="0"/>
              <w:jc w:val="left"/>
              <w:rPr>
                <w:rFonts w:ascii="Arial" w:hAnsi="Arial"/>
                <w:b/>
                <w:color w:val="7DB655"/>
                <w:sz w:val="48"/>
              </w:rPr>
            </w:pPr>
            <w:r>
              <w:rPr>
                <w:rFonts w:ascii="Arial" w:hAnsi="Arial"/>
                <w:b/>
                <w:color w:val="7DB655"/>
                <w:sz w:val="48"/>
              </w:rPr>
              <w:t xml:space="preserve">85% </w:t>
            </w:r>
          </w:p>
          <w:p>
            <w:pPr>
              <w:pStyle w:val="TableContents"/>
              <w:bidi w:val="0"/>
              <w:spacing w:before="0" w:after="0"/>
              <w:jc w:val="left"/>
              <w:rPr>
                <w:rFonts w:ascii="Arial" w:hAnsi="Arial"/>
                <w:color w:val="191919"/>
                <w:sz w:val="18"/>
              </w:rPr>
            </w:pPr>
            <w:r>
              <w:rPr>
                <w:rFonts w:ascii="Arial" w:hAnsi="Arial"/>
                <w:color w:val="191919"/>
                <w:sz w:val="18"/>
              </w:rPr>
              <w:t>of our top 20 active investors</w:t>
            </w:r>
          </w:p>
          <w:p>
            <w:pPr>
              <w:pStyle w:val="TableContents"/>
              <w:bidi w:val="0"/>
              <w:spacing w:before="0" w:after="20"/>
              <w:jc w:val="left"/>
              <w:rPr/>
            </w:pPr>
            <w:r>
              <w:rPr/>
              <w:t> </w:t>
            </w:r>
          </w:p>
        </w:tc>
        <w:tc>
          <w:tcPr>
            <w:tcW w:w="6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5667" w:type="dxa"/>
            <w:vMerge w:val="continue"/>
            <w:tcBorders>
              <w:bottom w:val="single" w:sz="6" w:space="0" w:color="000000"/>
              <w:right w:val="single" w:sz="6" w:space="0" w:color="000000"/>
            </w:tcBorders>
            <w:tcMar>
              <w:bottom w:w="28" w:type="dxa"/>
              <w:right w:w="28" w:type="dxa"/>
            </w:tcMar>
            <w:vAlign w:val="center"/>
          </w:tcPr>
          <w:p>
            <w:pPr>
              <w:pStyle w:val="Normal"/>
              <w:bidi w:val="0"/>
              <w:jc w:val="left"/>
              <w:rPr/>
            </w:pPr>
            <w:r>
              <w:rPr/>
            </w:r>
          </w:p>
        </w:tc>
        <w:tc>
          <w:tcPr>
            <w:tcW w:w="60" w:type="dxa"/>
            <w:vMerge w:val="continue"/>
            <w:tcBorders>
              <w:bottom w:val="single" w:sz="6" w:space="0" w:color="000000"/>
            </w:tcBorders>
            <w:tcMar>
              <w:bottom w:w="28" w:type="dxa"/>
            </w:tcMar>
            <w:vAlign w:val="center"/>
          </w:tcPr>
          <w:p>
            <w:pPr>
              <w:pStyle w:val="Normal"/>
              <w:bidi w:val="0"/>
              <w:jc w:val="left"/>
              <w:rPr/>
            </w:pPr>
            <w:r>
              <w:rPr/>
            </w:r>
          </w:p>
        </w:tc>
        <w:tc>
          <w:tcPr>
            <w:tcW w:w="1942" w:type="dxa"/>
            <w:vMerge w:val="continue"/>
            <w:tcBorders>
              <w:bottom w:val="single" w:sz="6" w:space="0" w:color="000000"/>
            </w:tcBorders>
            <w:tcMar>
              <w:bottom w:w="28" w:type="dxa"/>
            </w:tcMar>
            <w:vAlign w:val="center"/>
          </w:tcPr>
          <w:p>
            <w:pPr>
              <w:pStyle w:val="Normal"/>
              <w:bidi w:val="0"/>
              <w:jc w:val="left"/>
              <w:rPr/>
            </w:pPr>
            <w:r>
              <w:rPr/>
            </w:r>
          </w:p>
        </w:tc>
      </w:tr>
    </w:tbl>
    <w:p>
      <w:pPr>
        <w:pStyle w:val="TextBody"/>
        <w:bidi w:val="0"/>
        <w:spacing w:before="360" w:after="0"/>
        <w:jc w:val="left"/>
        <w:rPr>
          <w:rFonts w:ascii="Arial" w:hAnsi="Arial"/>
          <w:b/>
          <w:color w:val="7DB655"/>
          <w:sz w:val="30"/>
        </w:rPr>
      </w:pPr>
      <w:r>
        <w:rPr>
          <w:rFonts w:ascii="Arial" w:hAnsi="Arial"/>
          <w:b/>
          <w:color w:val="7DB655"/>
          <w:sz w:val="30"/>
        </w:rPr>
        <w:t xml:space="preserve">Board of Directors Highlights (page 10) </w:t>
      </w:r>
    </w:p>
    <w:p>
      <w:pPr>
        <w:pStyle w:val="TextBody"/>
        <w:bidi w:val="0"/>
        <w:spacing w:before="240" w:after="0"/>
        <w:jc w:val="left"/>
        <w:rPr>
          <w:rFonts w:ascii="Arial" w:hAnsi="Arial"/>
          <w:color w:val="191919"/>
          <w:sz w:val="18"/>
        </w:rPr>
      </w:pPr>
      <w:r>
        <w:rPr>
          <w:rFonts w:ascii="Arial" w:hAnsi="Arial"/>
          <w:color w:val="191919"/>
          <w:sz w:val="18"/>
        </w:rPr>
        <w:t xml:space="preserve">Seven of our current eight Board members are nominated for re-election at the Annual Meeting, as Mr. J. Kent Sweezey is retiring from the Board at the conclusion of the Annual Meeting. As shown below, our seven director nominees strengthen our Board with their varied professional backgrounds and experiences.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6384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7810500" cy="2638425"/>
                    </a:xfrm>
                    <a:prstGeom prst="rect">
                      <a:avLst/>
                    </a:prstGeom>
                  </pic:spPr>
                </pic:pic>
              </a:graphicData>
            </a:graphic>
          </wp:inline>
        </w:drawing>
      </w:r>
      <w:r>
        <w:rPr/>
        <w:t xml:space="preserve"> </w:t>
      </w:r>
    </w:p>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b/>
              </w:rPr>
            </w:pPr>
            <w:r>
              <w:rPr>
                <w:b/>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Proxy Statement Summary </w:t>
      </w:r>
    </w:p>
    <w:p>
      <w:pPr>
        <w:pStyle w:val="TextBody"/>
        <w:bidi w:val="0"/>
        <w:spacing w:before="0" w:after="0"/>
        <w:jc w:val="left"/>
        <w:rPr>
          <w:rFonts w:ascii="Arial" w:hAnsi="Arial"/>
          <w:sz w:val="16"/>
        </w:rPr>
      </w:pPr>
      <w:r>
        <w:rPr>
          <w:rFonts w:ascii="Arial" w:hAnsi="Arial"/>
          <w:sz w:val="16"/>
        </w:rPr>
        <w:t xml:space="preserve">Board of Directors Highlights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Current Directors </w:t>
      </w:r>
    </w:p>
    <w:p>
      <w:pPr>
        <w:pStyle w:val="TextBody"/>
        <w:bidi w:val="0"/>
        <w:spacing w:before="240" w:after="0"/>
        <w:jc w:val="left"/>
        <w:rPr>
          <w:rFonts w:ascii="Arial" w:hAnsi="Arial"/>
          <w:color w:val="191919"/>
          <w:sz w:val="18"/>
        </w:rPr>
      </w:pPr>
      <w:r>
        <w:rPr>
          <w:rFonts w:ascii="Arial" w:hAnsi="Arial"/>
          <w:color w:val="191919"/>
          <w:sz w:val="18"/>
        </w:rPr>
        <w:t xml:space="preserve">Mr. Sweezey, who joined our Board in 2016, is retiring effective at the conclusion of the 2026 Annual Meeting. We thank Mr. Sweezey for his leadership and ten years of distinguished service to the Company. </w:t>
      </w:r>
    </w:p>
    <w:p>
      <w:pPr>
        <w:pStyle w:val="TextBody"/>
        <w:bidi w:val="0"/>
        <w:spacing w:before="0" w:after="0"/>
        <w:jc w:val="left"/>
        <w:rPr/>
      </w:pPr>
      <w:r>
        <w:rPr/>
        <w:t> </w:t>
      </w:r>
    </w:p>
    <w:tbl>
      <w:tblPr>
        <w:tblW w:w="11125" w:type="dxa"/>
        <w:jc w:val="left"/>
        <w:tblInd w:w="0" w:type="dxa"/>
        <w:tblLayout w:type="fixed"/>
        <w:tblCellMar>
          <w:top w:w="0" w:type="dxa"/>
          <w:left w:w="0" w:type="dxa"/>
          <w:bottom w:w="0" w:type="dxa"/>
          <w:right w:w="0" w:type="dxa"/>
        </w:tblCellMar>
      </w:tblPr>
      <w:tblGrid>
        <w:gridCol w:w="735"/>
        <w:gridCol w:w="60"/>
        <w:gridCol w:w="1760"/>
        <w:gridCol w:w="60"/>
        <w:gridCol w:w="425"/>
        <w:gridCol w:w="60"/>
        <w:gridCol w:w="650"/>
        <w:gridCol w:w="60"/>
        <w:gridCol w:w="3230"/>
        <w:gridCol w:w="60"/>
        <w:gridCol w:w="1310"/>
        <w:gridCol w:w="60"/>
        <w:gridCol w:w="605"/>
        <w:gridCol w:w="60"/>
        <w:gridCol w:w="1145"/>
        <w:gridCol w:w="60"/>
        <w:gridCol w:w="785"/>
      </w:tblGrid>
      <w:tr>
        <w:trPr/>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655" w:type="dxa"/>
            <w:gridSpan w:val="5"/>
            <w:tcBorders>
              <w:bottom w:val="single" w:sz="6" w:space="0" w:color="7DB655"/>
            </w:tcBorders>
            <w:tcMar>
              <w:bottom w:w="80" w:type="dxa"/>
            </w:tcMar>
            <w:vAlign w:val="center"/>
          </w:tcPr>
          <w:p>
            <w:pPr>
              <w:pStyle w:val="TableContents"/>
              <w:bidi w:val="0"/>
              <w:spacing w:before="0" w:after="283"/>
              <w:jc w:val="center"/>
              <w:rPr>
                <w:b/>
                <w:color w:val="191919"/>
              </w:rPr>
            </w:pPr>
            <w:r>
              <w:rPr>
                <w:b/>
                <w:color w:val="191919"/>
              </w:rPr>
              <w:t>Committee Memberships</w:t>
            </w:r>
          </w:p>
        </w:tc>
      </w:tr>
      <w:tr>
        <w:trPr/>
        <w:tc>
          <w:tcPr>
            <w:tcW w:w="73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bottom w:val="single" w:sz="5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76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Name</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2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Age</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50"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Director</w:t>
            </w:r>
          </w:p>
          <w:p>
            <w:pPr>
              <w:pStyle w:val="TableContents"/>
              <w:bidi w:val="0"/>
              <w:spacing w:before="0" w:after="20"/>
              <w:jc w:val="center"/>
              <w:rPr>
                <w:rFonts w:ascii="Arial" w:hAnsi="Arial"/>
                <w:b/>
                <w:color w:val="191919"/>
                <w:sz w:val="16"/>
              </w:rPr>
            </w:pPr>
            <w:r>
              <w:rPr>
                <w:rFonts w:ascii="Arial" w:hAnsi="Arial"/>
                <w:b/>
                <w:color w:val="191919"/>
                <w:sz w:val="16"/>
              </w:rPr>
              <w:t>Since</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323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Occupation</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1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Independent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Audit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4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Comp &amp;</w:t>
              <w:br/>
              <w:t>Talent Dev</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78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Nom &amp;</w:t>
              <w:br/>
              <w:t>Gov</w:t>
            </w:r>
          </w:p>
        </w:tc>
      </w:tr>
      <w:tr>
        <w:trPr/>
        <w:tc>
          <w:tcPr>
            <w:tcW w:w="73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b/>
                <w:color w:val="191919"/>
              </w:rPr>
            </w:pPr>
            <w:r>
              <w:rPr>
                <w:b/>
                <w:color w:val="191919"/>
              </w:rPr>
              <w:t>Joseph B. Armes</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2015</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color w:val="191919"/>
              </w:rPr>
            </w:pPr>
            <w:r>
              <w:rPr>
                <w:color w:val="191919"/>
              </w:rPr>
              <w:t>Chairman, CEO and President, CSW Industrials, Inc.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r>
      <w:tr>
        <w:trPr/>
        <w:tc>
          <w:tcPr>
            <w:tcW w:w="735"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2"/>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290"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205" w:type="dxa"/>
            <w:gridSpan w:val="2"/>
            <w:tcBorders/>
            <w:shd w:fill="EDEDED" w:val="clear"/>
            <w:vAlign w:val="center"/>
          </w:tcPr>
          <w:p>
            <w:pPr>
              <w:pStyle w:val="TableContents"/>
              <w:bidi w:val="0"/>
              <w:spacing w:before="0" w:after="283"/>
              <w:jc w:val="left"/>
              <w:rPr>
                <w:sz w:val="4"/>
                <w:szCs w:val="4"/>
              </w:rPr>
            </w:pPr>
            <w:r>
              <w:rPr>
                <w:sz w:val="4"/>
                <w:szCs w:val="4"/>
              </w:rPr>
            </w:r>
          </w:p>
        </w:tc>
        <w:tc>
          <w:tcPr>
            <w:tcW w:w="84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3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760" w:type="dxa"/>
            <w:tcBorders/>
            <w:shd w:fill="EDEDED" w:val="clear"/>
            <w:vAlign w:val="center"/>
          </w:tcPr>
          <w:p>
            <w:pPr>
              <w:pStyle w:val="TableContents"/>
              <w:bidi w:val="0"/>
              <w:spacing w:before="0" w:after="283"/>
              <w:jc w:val="left"/>
              <w:rPr>
                <w:b/>
                <w:color w:val="191919"/>
              </w:rPr>
            </w:pPr>
            <w:r>
              <w:rPr>
                <w:b/>
                <w:color w:val="191919"/>
              </w:rPr>
              <w:t>Darron K. Ash</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center"/>
              <w:rPr/>
            </w:pPr>
            <w:r>
              <w:rPr/>
              <w:t>61</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center"/>
              <w:rPr/>
            </w:pPr>
            <w:r>
              <w:rPr/>
              <w:t>2024</w:t>
            </w:r>
          </w:p>
        </w:tc>
        <w:tc>
          <w:tcPr>
            <w:tcW w:w="60" w:type="dxa"/>
            <w:tcBorders/>
            <w:shd w:fill="EDEDED" w:val="clear"/>
            <w:vAlign w:val="center"/>
          </w:tcPr>
          <w:p>
            <w:pPr>
              <w:pStyle w:val="TableContents"/>
              <w:bidi w:val="0"/>
              <w:spacing w:before="0" w:after="283"/>
              <w:jc w:val="left"/>
              <w:rPr/>
            </w:pPr>
            <w:r>
              <w:rPr/>
              <w:t> </w:t>
            </w:r>
          </w:p>
        </w:tc>
        <w:tc>
          <w:tcPr>
            <w:tcW w:w="3230" w:type="dxa"/>
            <w:tcBorders/>
            <w:shd w:fill="EDEDED" w:val="clear"/>
            <w:vAlign w:val="center"/>
          </w:tcPr>
          <w:p>
            <w:pPr>
              <w:pStyle w:val="TableContents"/>
              <w:bidi w:val="0"/>
              <w:spacing w:before="0" w:after="283"/>
              <w:jc w:val="left"/>
              <w:rPr>
                <w:color w:val="191919"/>
              </w:rPr>
            </w:pPr>
            <w:r>
              <w:rPr>
                <w:color w:val="191919"/>
              </w:rPr>
              <w:t>CEO, Sammons Enterprises, Inc.</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605"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1145"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b/>
                <w:color w:val="191919"/>
              </w:rPr>
            </w:pPr>
            <w:r>
              <w:rPr>
                <w:b/>
                <w:color w:val="191919"/>
              </w:rPr>
              <w:t>Michael R. Gambrell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2015</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color w:val="191919"/>
              </w:rPr>
            </w:pPr>
            <w:r>
              <w:rPr>
                <w:color w:val="191919"/>
              </w:rPr>
              <w:t>Former EVP, The Dow Chemical Company</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7DB655"/>
              </w:rPr>
            </w:pPr>
            <w:r>
              <w:rPr>
                <w:color w:val="7DB655"/>
              </w:rPr>
              <w:t>●</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drawing>
                <wp:inline distT="0" distB="0" distL="0" distR="0">
                  <wp:extent cx="148590" cy="14541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48590" cy="145415"/>
                          </a:xfrm>
                          <a:prstGeom prst="rect">
                            <a:avLst/>
                          </a:prstGeom>
                        </pic:spPr>
                      </pic:pic>
                    </a:graphicData>
                  </a:graphic>
                </wp:inline>
              </w:drawing>
            </w:r>
            <w:r>
              <w:rPr/>
              <w:t xml:space="preserve"> </w:t>
            </w:r>
          </w:p>
        </w:tc>
      </w:tr>
      <w:tr>
        <w:trPr/>
        <w:tc>
          <w:tcPr>
            <w:tcW w:w="735"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2"/>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290"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205" w:type="dxa"/>
            <w:gridSpan w:val="2"/>
            <w:tcBorders/>
            <w:shd w:fill="EDEDED" w:val="clear"/>
            <w:vAlign w:val="center"/>
          </w:tcPr>
          <w:p>
            <w:pPr>
              <w:pStyle w:val="TableContents"/>
              <w:bidi w:val="0"/>
              <w:spacing w:before="0" w:after="283"/>
              <w:jc w:val="left"/>
              <w:rPr>
                <w:sz w:val="4"/>
                <w:szCs w:val="4"/>
              </w:rPr>
            </w:pPr>
            <w:r>
              <w:rPr>
                <w:sz w:val="4"/>
                <w:szCs w:val="4"/>
              </w:rPr>
            </w:r>
          </w:p>
        </w:tc>
        <w:tc>
          <w:tcPr>
            <w:tcW w:w="84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3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760" w:type="dxa"/>
            <w:tcBorders/>
            <w:shd w:fill="EDEDED" w:val="clear"/>
            <w:vAlign w:val="center"/>
          </w:tcPr>
          <w:p>
            <w:pPr>
              <w:pStyle w:val="TableContents"/>
              <w:bidi w:val="0"/>
              <w:spacing w:before="0" w:after="283"/>
              <w:jc w:val="left"/>
              <w:rPr>
                <w:b/>
                <w:color w:val="191919"/>
              </w:rPr>
            </w:pPr>
            <w:r>
              <w:rPr>
                <w:b/>
                <w:color w:val="191919"/>
              </w:rPr>
              <w:t>Bobby Griffin</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center"/>
              <w:rPr/>
            </w:pPr>
            <w:r>
              <w:rPr/>
              <w:t>59</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center"/>
              <w:rPr/>
            </w:pPr>
            <w:r>
              <w:rPr/>
              <w:t>2021</w:t>
            </w:r>
          </w:p>
        </w:tc>
        <w:tc>
          <w:tcPr>
            <w:tcW w:w="60" w:type="dxa"/>
            <w:tcBorders/>
            <w:shd w:fill="EDEDED" w:val="clear"/>
            <w:vAlign w:val="center"/>
          </w:tcPr>
          <w:p>
            <w:pPr>
              <w:pStyle w:val="TableContents"/>
              <w:bidi w:val="0"/>
              <w:spacing w:before="0" w:after="283"/>
              <w:jc w:val="left"/>
              <w:rPr/>
            </w:pPr>
            <w:r>
              <w:rPr/>
              <w:t> </w:t>
            </w:r>
          </w:p>
        </w:tc>
        <w:tc>
          <w:tcPr>
            <w:tcW w:w="3230" w:type="dxa"/>
            <w:tcBorders/>
            <w:shd w:fill="EDEDED" w:val="clear"/>
            <w:vAlign w:val="center"/>
          </w:tcPr>
          <w:p>
            <w:pPr>
              <w:pStyle w:val="TableContents"/>
              <w:bidi w:val="0"/>
              <w:spacing w:before="0" w:after="283"/>
              <w:jc w:val="left"/>
              <w:rPr>
                <w:color w:val="191919"/>
              </w:rPr>
            </w:pPr>
            <w:r>
              <w:rPr>
                <w:color w:val="191919"/>
              </w:rPr>
              <w:t>Chief Diversity Officer, Rockwell Automation, Inc.</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60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145"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center"/>
              <w:rPr>
                <w:color w:val="7DB655"/>
              </w:rPr>
            </w:pPr>
            <w:r>
              <w:rPr>
                <w:color w:val="7DB655"/>
              </w:rPr>
              <w:t>●</w:t>
            </w:r>
          </w:p>
        </w:tc>
      </w:tr>
      <w:tr>
        <w:trPr/>
        <w:tc>
          <w:tcPr>
            <w:tcW w:w="73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b/>
                <w:color w:val="191919"/>
              </w:rPr>
            </w:pPr>
            <w:r>
              <w:rPr>
                <w:b/>
                <w:color w:val="191919"/>
              </w:rPr>
              <w:t>Terry L. Johnston</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68</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2017</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color w:val="191919"/>
              </w:rPr>
            </w:pPr>
            <w:r>
              <w:rPr>
                <w:color w:val="191919"/>
              </w:rPr>
              <w:t>Former EVP and COO, Commercial Segment, Lennox International</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7DB655"/>
              </w:rPr>
            </w:pPr>
            <w:r>
              <w:rPr>
                <w:color w:val="7DB655"/>
              </w:rPr>
              <w:t>●</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color w:val="7DB655"/>
              </w:rPr>
            </w:pPr>
            <w:r>
              <w:rPr>
                <w:color w:val="7DB655"/>
              </w:rPr>
              <w: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color w:val="7DB655"/>
              </w:rPr>
            </w:pPr>
            <w:r>
              <w:rPr>
                <w:color w:val="7DB655"/>
              </w:rPr>
              <w:t>●</w:t>
            </w:r>
          </w:p>
        </w:tc>
      </w:tr>
      <w:tr>
        <w:trPr/>
        <w:tc>
          <w:tcPr>
            <w:tcW w:w="735"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2"/>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290"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205" w:type="dxa"/>
            <w:gridSpan w:val="2"/>
            <w:tcBorders/>
            <w:shd w:fill="EDEDED" w:val="clear"/>
            <w:vAlign w:val="center"/>
          </w:tcPr>
          <w:p>
            <w:pPr>
              <w:pStyle w:val="TableContents"/>
              <w:bidi w:val="0"/>
              <w:spacing w:before="0" w:after="283"/>
              <w:jc w:val="left"/>
              <w:rPr>
                <w:sz w:val="4"/>
                <w:szCs w:val="4"/>
              </w:rPr>
            </w:pPr>
            <w:r>
              <w:rPr>
                <w:sz w:val="4"/>
                <w:szCs w:val="4"/>
              </w:rPr>
            </w:r>
          </w:p>
        </w:tc>
        <w:tc>
          <w:tcPr>
            <w:tcW w:w="84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3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760" w:type="dxa"/>
            <w:tcBorders/>
            <w:shd w:fill="EDEDED" w:val="clear"/>
            <w:vAlign w:val="center"/>
          </w:tcPr>
          <w:p>
            <w:pPr>
              <w:pStyle w:val="TableContents"/>
              <w:bidi w:val="0"/>
              <w:spacing w:before="0" w:after="0"/>
              <w:jc w:val="left"/>
              <w:rPr>
                <w:rFonts w:ascii="Arial" w:hAnsi="Arial"/>
                <w:b/>
                <w:color w:val="191919"/>
                <w:sz w:val="16"/>
              </w:rPr>
            </w:pPr>
            <w:r>
              <w:rPr>
                <w:rFonts w:ascii="Arial" w:hAnsi="Arial"/>
                <w:b/>
                <w:color w:val="191919"/>
                <w:sz w:val="16"/>
              </w:rPr>
              <w:t>Linda A. Livingstone, Ph.D.</w:t>
            </w:r>
          </w:p>
          <w:p>
            <w:pPr>
              <w:pStyle w:val="TableContents"/>
              <w:bidi w:val="0"/>
              <w:spacing w:before="0" w:after="20"/>
              <w:jc w:val="left"/>
              <w:rPr>
                <w:rFonts w:ascii="Arial" w:hAnsi="Arial"/>
                <w:b/>
                <w:i/>
                <w:color w:val="191919"/>
                <w:sz w:val="16"/>
              </w:rPr>
            </w:pPr>
            <w:r>
              <w:rPr>
                <w:rFonts w:ascii="Arial" w:hAnsi="Arial"/>
                <w:b/>
                <w:i/>
                <w:color w:val="191919"/>
                <w:sz w:val="16"/>
              </w:rPr>
              <w:t>(Lead Independent Director)</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center"/>
              <w:rPr/>
            </w:pPr>
            <w:r>
              <w:rPr/>
              <w:t>66</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center"/>
              <w:rPr/>
            </w:pPr>
            <w:r>
              <w:rPr/>
              <w:t>2015</w:t>
            </w:r>
          </w:p>
        </w:tc>
        <w:tc>
          <w:tcPr>
            <w:tcW w:w="60" w:type="dxa"/>
            <w:tcBorders/>
            <w:shd w:fill="EDEDED" w:val="clear"/>
            <w:vAlign w:val="center"/>
          </w:tcPr>
          <w:p>
            <w:pPr>
              <w:pStyle w:val="TableContents"/>
              <w:bidi w:val="0"/>
              <w:spacing w:before="0" w:after="283"/>
              <w:jc w:val="left"/>
              <w:rPr/>
            </w:pPr>
            <w:r>
              <w:rPr/>
              <w:t> </w:t>
            </w:r>
          </w:p>
        </w:tc>
        <w:tc>
          <w:tcPr>
            <w:tcW w:w="3230" w:type="dxa"/>
            <w:tcBorders/>
            <w:shd w:fill="EDEDED" w:val="clear"/>
            <w:vAlign w:val="center"/>
          </w:tcPr>
          <w:p>
            <w:pPr>
              <w:pStyle w:val="TableContents"/>
              <w:bidi w:val="0"/>
              <w:spacing w:before="0" w:after="283"/>
              <w:jc w:val="left"/>
              <w:rPr>
                <w:color w:val="191919"/>
              </w:rPr>
            </w:pPr>
            <w:r>
              <w:rPr>
                <w:color w:val="191919"/>
              </w:rPr>
              <w:t>President, Baylor University</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60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145" w:type="dxa"/>
            <w:tcBorders/>
            <w:shd w:fill="EDEDED" w:val="clear"/>
            <w:vAlign w:val="center"/>
          </w:tcPr>
          <w:p>
            <w:pPr>
              <w:pStyle w:val="TableContents"/>
              <w:bidi w:val="0"/>
              <w:spacing w:before="0" w:after="283"/>
              <w:jc w:val="center"/>
              <w:rPr>
                <w:color w:val="7DB655"/>
              </w:rPr>
            </w:pPr>
            <w:r>
              <w:rPr>
                <w:color w:val="7DB655"/>
              </w:rPr>
              <w:t>●</w:t>
            </w:r>
          </w:p>
        </w:tc>
        <w:tc>
          <w:tcPr>
            <w:tcW w:w="6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center"/>
              <w:rPr>
                <w:color w:val="7DB655"/>
              </w:rPr>
            </w:pPr>
            <w:r>
              <w:rPr>
                <w:color w:val="7DB655"/>
              </w:rPr>
              <w:t>●</w:t>
            </w:r>
          </w:p>
        </w:tc>
      </w:tr>
      <w:tr>
        <w:trPr/>
        <w:tc>
          <w:tcPr>
            <w:tcW w:w="73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290"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b/>
                <w:color w:val="191919"/>
              </w:rPr>
            </w:pPr>
            <w:r>
              <w:rPr>
                <w:b/>
                <w:color w:val="191919"/>
              </w:rPr>
              <w:t>Anne B. Motsenbocker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color w:val="191919"/>
              </w:rPr>
            </w:pPr>
            <w:r>
              <w:rPr>
                <w:color w:val="191919"/>
              </w:rPr>
              <w:t>Former Managing Director, J.P. Morgan Chase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7DB655"/>
              </w:rPr>
            </w:pPr>
            <w:r>
              <w:rPr>
                <w:color w:val="7DB655"/>
              </w:rPr>
              <w:t>●</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drawing>
                <wp:inline distT="0" distB="0" distL="0" distR="0">
                  <wp:extent cx="148590" cy="14541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48590" cy="14541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r>
      <w:tr>
        <w:trPr/>
        <w:tc>
          <w:tcPr>
            <w:tcW w:w="735"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2"/>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290"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665" w:type="dxa"/>
            <w:gridSpan w:val="2"/>
            <w:tcBorders/>
            <w:shd w:fill="EDEDED" w:val="clear"/>
            <w:vAlign w:val="center"/>
          </w:tcPr>
          <w:p>
            <w:pPr>
              <w:pStyle w:val="TableContents"/>
              <w:bidi w:val="0"/>
              <w:spacing w:before="0" w:after="283"/>
              <w:jc w:val="left"/>
              <w:rPr>
                <w:sz w:val="4"/>
                <w:szCs w:val="4"/>
              </w:rPr>
            </w:pPr>
            <w:r>
              <w:rPr>
                <w:sz w:val="4"/>
                <w:szCs w:val="4"/>
              </w:rPr>
            </w:r>
          </w:p>
        </w:tc>
        <w:tc>
          <w:tcPr>
            <w:tcW w:w="1205" w:type="dxa"/>
            <w:gridSpan w:val="2"/>
            <w:tcBorders/>
            <w:shd w:fill="EDEDED" w:val="clear"/>
            <w:vAlign w:val="center"/>
          </w:tcPr>
          <w:p>
            <w:pPr>
              <w:pStyle w:val="TableContents"/>
              <w:bidi w:val="0"/>
              <w:spacing w:before="0" w:after="283"/>
              <w:jc w:val="left"/>
              <w:rPr>
                <w:sz w:val="4"/>
                <w:szCs w:val="4"/>
              </w:rPr>
            </w:pPr>
            <w:r>
              <w:rPr>
                <w:sz w:val="4"/>
                <w:szCs w:val="4"/>
              </w:rPr>
            </w:r>
          </w:p>
        </w:tc>
        <w:tc>
          <w:tcPr>
            <w:tcW w:w="84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35" w:type="dxa"/>
            <w:tcBorders>
              <w:bottom w:val="single" w:sz="6" w:space="0" w:color="7DB655"/>
            </w:tcBorders>
            <w:shd w:fill="EDEDED"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 cy="609600"/>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457200" cy="60960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760" w:type="dxa"/>
            <w:tcBorders>
              <w:bottom w:val="single" w:sz="6" w:space="0" w:color="7DB655"/>
            </w:tcBorders>
            <w:shd w:fill="EDEDED" w:val="clear"/>
            <w:tcMar>
              <w:bottom w:w="40" w:type="dxa"/>
            </w:tcMar>
            <w:vAlign w:val="center"/>
          </w:tcPr>
          <w:p>
            <w:pPr>
              <w:pStyle w:val="TableContents"/>
              <w:bidi w:val="0"/>
              <w:spacing w:before="0" w:after="283"/>
              <w:jc w:val="left"/>
              <w:rPr>
                <w:b/>
                <w:color w:val="191919"/>
              </w:rPr>
            </w:pPr>
            <w:r>
              <w:rPr>
                <w:b/>
                <w:color w:val="191919"/>
              </w:rPr>
              <w:t>J. Kent Sweezey(1)</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25" w:type="dxa"/>
            <w:tcBorders>
              <w:bottom w:val="single" w:sz="6" w:space="0" w:color="7DB655"/>
            </w:tcBorders>
            <w:shd w:fill="EDEDED" w:val="clear"/>
            <w:tcMar>
              <w:bottom w:w="40" w:type="dxa"/>
            </w:tcMar>
            <w:vAlign w:val="center"/>
          </w:tcPr>
          <w:p>
            <w:pPr>
              <w:pStyle w:val="TableContents"/>
              <w:bidi w:val="0"/>
              <w:spacing w:before="0" w:after="283"/>
              <w:jc w:val="center"/>
              <w:rPr/>
            </w:pPr>
            <w:r>
              <w:rPr/>
              <w:t>73</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650" w:type="dxa"/>
            <w:tcBorders>
              <w:bottom w:val="single" w:sz="6" w:space="0" w:color="7DB655"/>
            </w:tcBorders>
            <w:shd w:fill="EDEDED" w:val="clear"/>
            <w:tcMar>
              <w:bottom w:w="40" w:type="dxa"/>
            </w:tcMar>
            <w:vAlign w:val="center"/>
          </w:tcPr>
          <w:p>
            <w:pPr>
              <w:pStyle w:val="TableContents"/>
              <w:bidi w:val="0"/>
              <w:spacing w:before="0" w:after="283"/>
              <w:jc w:val="center"/>
              <w:rPr/>
            </w:pPr>
            <w:r>
              <w:rPr/>
              <w:t>2016</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3230" w:type="dxa"/>
            <w:tcBorders>
              <w:bottom w:val="single" w:sz="6" w:space="0" w:color="7DB655"/>
            </w:tcBorders>
            <w:shd w:fill="EDEDED" w:val="clear"/>
            <w:tcMar>
              <w:bottom w:w="40" w:type="dxa"/>
            </w:tcMar>
            <w:vAlign w:val="center"/>
          </w:tcPr>
          <w:p>
            <w:pPr>
              <w:pStyle w:val="TableContents"/>
              <w:bidi w:val="0"/>
              <w:spacing w:before="0" w:after="283"/>
              <w:jc w:val="left"/>
              <w:rPr>
                <w:color w:val="191919"/>
              </w:rPr>
            </w:pPr>
            <w:r>
              <w:rPr>
                <w:color w:val="191919"/>
              </w:rPr>
              <w:t>Founding Partner, Turnbridge Capital, LLC</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310" w:type="dxa"/>
            <w:tcBorders>
              <w:bottom w:val="single" w:sz="6" w:space="0" w:color="7DB655"/>
            </w:tcBorders>
            <w:shd w:fill="EDEDED" w:val="clear"/>
            <w:tcMar>
              <w:bottom w:w="40" w:type="dxa"/>
            </w:tcMar>
            <w:vAlign w:val="center"/>
          </w:tcPr>
          <w:p>
            <w:pPr>
              <w:pStyle w:val="TableContents"/>
              <w:bidi w:val="0"/>
              <w:spacing w:before="0" w:after="283"/>
              <w:jc w:val="center"/>
              <w:rPr>
                <w:color w:val="7DB655"/>
              </w:rPr>
            </w:pPr>
            <w:r>
              <w:rPr>
                <w:color w:val="7DB655"/>
              </w:rPr>
              <w:t>●</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605" w:type="dxa"/>
            <w:tcBorders>
              <w:bottom w:val="single" w:sz="6" w:space="0" w:color="7DB655"/>
            </w:tcBorders>
            <w:shd w:fill="EDEDED" w:val="clear"/>
            <w:tcMar>
              <w:bottom w:w="40" w:type="dxa"/>
            </w:tcMar>
            <w:vAlign w:val="center"/>
          </w:tcPr>
          <w:p>
            <w:pPr>
              <w:pStyle w:val="TableContents"/>
              <w:bidi w:val="0"/>
              <w:spacing w:before="0" w:after="283"/>
              <w:jc w:val="center"/>
              <w:rPr>
                <w:color w:val="7DB655"/>
              </w:rPr>
            </w:pPr>
            <w:r>
              <w:rPr>
                <w:color w:val="7DB655"/>
              </w:rPr>
              <w:t>●</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145" w:type="dxa"/>
            <w:tcBorders>
              <w:bottom w:val="single" w:sz="6" w:space="0" w:color="7DB655"/>
            </w:tcBorders>
            <w:shd w:fill="EDEDED" w:val="clear"/>
            <w:tcMar>
              <w:bottom w:w="40" w:type="dxa"/>
            </w:tcMar>
            <w:vAlign w:val="center"/>
          </w:tcPr>
          <w:p>
            <w:pPr>
              <w:pStyle w:val="TableContents"/>
              <w:bidi w:val="0"/>
              <w:spacing w:before="0" w:after="283"/>
              <w:jc w:val="center"/>
              <w:rPr/>
            </w:pPr>
            <w:r>
              <w:rPr/>
              <w:drawing>
                <wp:inline distT="0" distB="0" distL="0" distR="0">
                  <wp:extent cx="148590" cy="14541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48590" cy="145415"/>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785"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r>
    </w:tbl>
    <w:p>
      <w:pPr>
        <w:pStyle w:val="TextBody"/>
        <w:bidi w:val="0"/>
        <w:spacing w:before="120" w:after="0"/>
        <w:jc w:val="left"/>
        <w:rPr/>
      </w:pPr>
      <w:r>
        <w:rPr/>
        <w:drawing>
          <wp:inline distT="0" distB="0" distL="0" distR="0">
            <wp:extent cx="148590" cy="14541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48590" cy="145415"/>
                    </a:xfrm>
                    <a:prstGeom prst="rect">
                      <a:avLst/>
                    </a:prstGeom>
                  </pic:spPr>
                </pic:pic>
              </a:graphicData>
            </a:graphic>
          </wp:inline>
        </w:drawing>
      </w:r>
      <w:r>
        <w:rPr/>
        <w:t xml:space="preserve"> </w:t>
      </w:r>
      <w:r>
        <w:rPr>
          <w:rFonts w:ascii="Arial" w:hAnsi="Arial"/>
          <w:i/>
          <w:sz w:val="20"/>
        </w:rPr>
        <w:t xml:space="preserve">Denotes Committee Chair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i/>
                <w:color w:val="191919"/>
              </w:rPr>
            </w:pPr>
            <w:r>
              <w:rPr>
                <w:i/>
                <w:color w:val="191919"/>
              </w:rPr>
              <w:t>(1)</w:t>
            </w:r>
          </w:p>
        </w:tc>
        <w:tc>
          <w:tcPr>
            <w:tcW w:w="990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Not nominated for reelection at the 2026 Annual Meeting due to planned retirement pursuant to the age limitation provision in our Corporate Governance Guidelines. </w:t>
            </w:r>
          </w:p>
        </w:tc>
      </w:tr>
    </w:tbl>
    <w:p>
      <w:pPr>
        <w:pStyle w:val="TextBody"/>
        <w:bidi w:val="0"/>
        <w:spacing w:before="0" w:after="0"/>
        <w:jc w:val="left"/>
        <w:rPr/>
      </w:pPr>
      <w:r>
        <w:rPr/>
        <w:t> </w:t>
      </w:r>
    </w:p>
    <w:tbl>
      <w:tblPr>
        <w:tblW w:w="3753" w:type="dxa"/>
        <w:jc w:val="left"/>
        <w:tblInd w:w="0" w:type="dxa"/>
        <w:tblLayout w:type="fixed"/>
        <w:tblCellMar>
          <w:top w:w="0" w:type="dxa"/>
          <w:left w:w="0" w:type="dxa"/>
          <w:bottom w:w="0" w:type="dxa"/>
          <w:right w:w="0" w:type="dxa"/>
        </w:tblCellMar>
      </w:tblPr>
      <w:tblGrid>
        <w:gridCol w:w="75"/>
        <w:gridCol w:w="125"/>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sz w:val="20"/>
              </w:rPr>
            </w:pPr>
            <w:r>
              <w:rPr>
                <w:sz w:val="20"/>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Proxy Statement Summary </w:t>
      </w:r>
    </w:p>
    <w:p>
      <w:pPr>
        <w:pStyle w:val="TextBody"/>
        <w:bidi w:val="0"/>
        <w:spacing w:before="0" w:after="0"/>
        <w:jc w:val="right"/>
        <w:rPr>
          <w:rFonts w:ascii="Arial" w:hAnsi="Arial"/>
          <w:sz w:val="16"/>
        </w:rPr>
      </w:pPr>
      <w:r>
        <w:rPr>
          <w:rFonts w:ascii="Arial" w:hAnsi="Arial"/>
          <w:sz w:val="16"/>
        </w:rPr>
        <w:t xml:space="preserve">Executive Compensation Highlights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r>
        <w:rPr>
          <w:rFonts w:ascii="Arial" w:hAnsi="Arial"/>
          <w:b/>
          <w:color w:val="7DB655"/>
          <w:sz w:val="30"/>
        </w:rPr>
        <w:t xml:space="preserve">Executive Compensation Highlights (page 33) </w:t>
      </w:r>
    </w:p>
    <w:p>
      <w:pPr>
        <w:pStyle w:val="TextBody"/>
        <w:bidi w:val="0"/>
        <w:spacing w:before="240" w:after="0"/>
        <w:jc w:val="left"/>
        <w:rPr>
          <w:rFonts w:ascii="Arial" w:hAnsi="Arial"/>
          <w:b/>
          <w:color w:val="191919"/>
          <w:sz w:val="26"/>
        </w:rPr>
      </w:pPr>
      <w:r>
        <w:rPr>
          <w:rFonts w:ascii="Arial" w:hAnsi="Arial"/>
          <w:b/>
          <w:color w:val="191919"/>
          <w:sz w:val="26"/>
        </w:rPr>
        <w:t xml:space="preserve">Executive Compensation Program Objectives and Elements </w:t>
      </w:r>
    </w:p>
    <w:p>
      <w:pPr>
        <w:pStyle w:val="TextBody"/>
        <w:bidi w:val="0"/>
        <w:spacing w:before="240" w:after="0"/>
        <w:jc w:val="left"/>
        <w:rPr>
          <w:rFonts w:ascii="Arial" w:hAnsi="Arial"/>
          <w:color w:val="191919"/>
          <w:sz w:val="18"/>
        </w:rPr>
      </w:pPr>
      <w:r>
        <w:rPr>
          <w:rFonts w:ascii="Arial" w:hAnsi="Arial"/>
          <w:color w:val="191919"/>
          <w:sz w:val="18"/>
        </w:rPr>
        <w:t xml:space="preserve">Our executive compensation program is designed for one purpose: to support and enable execution of CSW’s growth strategy. To accomplish this purpose, we have adopted the following key executive compensation objectives: </w:t>
      </w:r>
    </w:p>
    <w:p>
      <w:pPr>
        <w:pStyle w:val="TextBody"/>
        <w:bidi w:val="0"/>
        <w:spacing w:before="0" w:after="0"/>
        <w:jc w:val="left"/>
        <w:rPr/>
      </w:pPr>
      <w:r>
        <w:rPr/>
        <w:t> </w:t>
      </w:r>
    </w:p>
    <w:tbl>
      <w:tblPr>
        <w:tblW w:w="6989" w:type="dxa"/>
        <w:jc w:val="left"/>
        <w:tblInd w:w="0" w:type="dxa"/>
        <w:tblLayout w:type="fixed"/>
        <w:tblCellMar>
          <w:top w:w="0" w:type="dxa"/>
          <w:left w:w="0" w:type="dxa"/>
          <w:bottom w:w="0" w:type="dxa"/>
          <w:right w:w="0" w:type="dxa"/>
        </w:tblCellMar>
      </w:tblPr>
      <w:tblGrid>
        <w:gridCol w:w="1445"/>
        <w:gridCol w:w="60"/>
        <w:gridCol w:w="23"/>
        <w:gridCol w:w="60"/>
        <w:gridCol w:w="1745"/>
        <w:gridCol w:w="60"/>
        <w:gridCol w:w="23"/>
        <w:gridCol w:w="60"/>
        <w:gridCol w:w="1355"/>
        <w:gridCol w:w="60"/>
        <w:gridCol w:w="23"/>
        <w:gridCol w:w="120"/>
        <w:gridCol w:w="195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445" w:type="dxa"/>
            <w:tcBorders/>
            <w:shd w:fill="F5F9F3" w:val="clear"/>
            <w:vAlign w:val="center"/>
          </w:tcPr>
          <w:p>
            <w:pPr>
              <w:pStyle w:val="TableContents"/>
              <w:bidi w:val="0"/>
              <w:spacing w:before="0" w:after="0"/>
              <w:jc w:val="center"/>
              <w:rPr/>
            </w:pPr>
            <w:r>
              <w:rPr/>
              <w:drawing>
                <wp:inline distT="0" distB="0" distL="0" distR="0">
                  <wp:extent cx="708025" cy="555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708025" cy="55562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EDF5F9" w:val="clear"/>
            <w:vAlign w:val="center"/>
          </w:tcPr>
          <w:p>
            <w:pPr>
              <w:pStyle w:val="TableContents"/>
              <w:bidi w:val="0"/>
              <w:spacing w:before="0" w:after="283"/>
              <w:jc w:val="left"/>
              <w:rPr/>
            </w:pPr>
            <w:r>
              <w:rPr/>
              <w:t> </w:t>
            </w:r>
          </w:p>
        </w:tc>
        <w:tc>
          <w:tcPr>
            <w:tcW w:w="1745" w:type="dxa"/>
            <w:tcBorders/>
            <w:shd w:fill="EDF5F9" w:val="clear"/>
            <w:vAlign w:val="center"/>
          </w:tcPr>
          <w:p>
            <w:pPr>
              <w:pStyle w:val="TableContents"/>
              <w:bidi w:val="0"/>
              <w:spacing w:before="0" w:after="0"/>
              <w:jc w:val="center"/>
              <w:rPr/>
            </w:pPr>
            <w:r>
              <w:rPr/>
              <w:drawing>
                <wp:inline distT="0" distB="0" distL="0" distR="0">
                  <wp:extent cx="831850" cy="54165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831850" cy="54165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7EE" w:val="clear"/>
            <w:vAlign w:val="center"/>
          </w:tcPr>
          <w:p>
            <w:pPr>
              <w:pStyle w:val="TableContents"/>
              <w:bidi w:val="0"/>
              <w:spacing w:before="0" w:after="283"/>
              <w:jc w:val="left"/>
              <w:rPr/>
            </w:pPr>
            <w:r>
              <w:rPr/>
              <w:t> </w:t>
            </w:r>
          </w:p>
        </w:tc>
        <w:tc>
          <w:tcPr>
            <w:tcW w:w="1355" w:type="dxa"/>
            <w:tcBorders/>
            <w:shd w:fill="FFF7EE" w:val="clear"/>
            <w:vAlign w:val="center"/>
          </w:tcPr>
          <w:p>
            <w:pPr>
              <w:pStyle w:val="TableContents"/>
              <w:bidi w:val="0"/>
              <w:spacing w:before="0" w:after="0"/>
              <w:jc w:val="center"/>
              <w:rPr/>
            </w:pPr>
            <w:r>
              <w:rPr/>
              <w:drawing>
                <wp:inline distT="0" distB="0" distL="0" distR="0">
                  <wp:extent cx="573405" cy="54419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573405" cy="54419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95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54050" cy="711200"/>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654050" cy="711200"/>
                          </a:xfrm>
                          <a:prstGeom prst="rect">
                            <a:avLst/>
                          </a:prstGeom>
                        </pic:spPr>
                      </pic:pic>
                    </a:graphicData>
                  </a:graphic>
                </wp:inline>
              </w:drawing>
            </w:r>
            <w:r>
              <w:rPr/>
              <w:t xml:space="preserve"> </w:t>
            </w:r>
          </w:p>
        </w:tc>
      </w:tr>
      <w:tr>
        <w:trPr/>
        <w:tc>
          <w:tcPr>
            <w:tcW w:w="1445" w:type="dxa"/>
            <w:tcBorders/>
            <w:shd w:fill="F5F9F3" w:val="clear"/>
            <w:vAlign w:val="center"/>
          </w:tcPr>
          <w:p>
            <w:pPr>
              <w:pStyle w:val="TableContents"/>
              <w:bidi w:val="0"/>
              <w:spacing w:before="0" w:after="0"/>
              <w:jc w:val="center"/>
              <w:rPr>
                <w:rFonts w:ascii="Arial" w:hAnsi="Arial"/>
                <w:b/>
                <w:color w:val="191919"/>
                <w:sz w:val="18"/>
              </w:rPr>
            </w:pPr>
            <w:r>
              <w:rPr>
                <w:rFonts w:ascii="Arial" w:hAnsi="Arial"/>
                <w:b/>
                <w:color w:val="191919"/>
                <w:sz w:val="18"/>
              </w:rPr>
              <w:t>Align Long-Term</w:t>
              <w:br/>
              <w:t>Executive and</w:t>
              <w:br/>
              <w:t>Shareholder</w:t>
              <w:br/>
              <w:t>Interests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EDF5F9" w:val="clear"/>
            <w:vAlign w:val="center"/>
          </w:tcPr>
          <w:p>
            <w:pPr>
              <w:pStyle w:val="TableContents"/>
              <w:bidi w:val="0"/>
              <w:spacing w:before="0" w:after="283"/>
              <w:jc w:val="left"/>
              <w:rPr/>
            </w:pPr>
            <w:r>
              <w:rPr/>
              <w:t> </w:t>
            </w:r>
          </w:p>
        </w:tc>
        <w:tc>
          <w:tcPr>
            <w:tcW w:w="1745" w:type="dxa"/>
            <w:tcBorders/>
            <w:shd w:fill="EDF5F9" w:val="clear"/>
            <w:vAlign w:val="center"/>
          </w:tcPr>
          <w:p>
            <w:pPr>
              <w:pStyle w:val="TableContents"/>
              <w:bidi w:val="0"/>
              <w:spacing w:before="0" w:after="283"/>
              <w:jc w:val="center"/>
              <w:rPr>
                <w:b/>
                <w:color w:val="191919"/>
              </w:rPr>
            </w:pPr>
            <w:r>
              <w:rPr>
                <w:b/>
                <w:color w:val="191919"/>
              </w:rPr>
              <w:t>Reward Current</w:t>
              <w:br/>
              <w:t>Performance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7EE" w:val="clear"/>
            <w:vAlign w:val="center"/>
          </w:tcPr>
          <w:p>
            <w:pPr>
              <w:pStyle w:val="TableContents"/>
              <w:bidi w:val="0"/>
              <w:spacing w:before="0" w:after="283"/>
              <w:jc w:val="left"/>
              <w:rPr/>
            </w:pPr>
            <w:r>
              <w:rPr/>
              <w:t> </w:t>
            </w:r>
          </w:p>
        </w:tc>
        <w:tc>
          <w:tcPr>
            <w:tcW w:w="1355" w:type="dxa"/>
            <w:tcBorders/>
            <w:shd w:fill="FFF7EE" w:val="clear"/>
            <w:vAlign w:val="center"/>
          </w:tcPr>
          <w:p>
            <w:pPr>
              <w:pStyle w:val="TableContents"/>
              <w:bidi w:val="0"/>
              <w:spacing w:before="0" w:after="283"/>
              <w:jc w:val="center"/>
              <w:rPr>
                <w:b/>
                <w:color w:val="191919"/>
              </w:rPr>
            </w:pPr>
            <w:r>
              <w:rPr>
                <w:b/>
                <w:color w:val="191919"/>
              </w:rPr>
              <w:t>Drive Future</w:t>
              <w:br/>
              <w:t>Performance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955" w:type="dxa"/>
            <w:tcBorders/>
            <w:shd w:fill="EDEDED" w:val="clear"/>
            <w:vAlign w:val="center"/>
          </w:tcPr>
          <w:p>
            <w:pPr>
              <w:pStyle w:val="TableContents"/>
              <w:bidi w:val="0"/>
              <w:spacing w:before="0" w:after="283"/>
              <w:jc w:val="center"/>
              <w:rPr>
                <w:b/>
                <w:color w:val="191919"/>
              </w:rPr>
            </w:pPr>
            <w:r>
              <w:rPr>
                <w:b/>
                <w:color w:val="191919"/>
              </w:rPr>
              <w:t>Attract and Retain</w:t>
              <w:br/>
              <w:t>Key Leaders</w:t>
            </w:r>
          </w:p>
        </w:tc>
      </w:tr>
    </w:tbl>
    <w:p>
      <w:pPr>
        <w:pStyle w:val="TextBody"/>
        <w:bidi w:val="0"/>
        <w:spacing w:before="240" w:after="0"/>
        <w:jc w:val="left"/>
        <w:rPr>
          <w:rFonts w:ascii="Arial" w:hAnsi="Arial"/>
          <w:color w:val="191919"/>
          <w:sz w:val="18"/>
        </w:rPr>
      </w:pPr>
      <w:r>
        <w:rPr>
          <w:rFonts w:ascii="Arial" w:hAnsi="Arial"/>
          <w:color w:val="191919"/>
          <w:sz w:val="18"/>
        </w:rPr>
        <w:t xml:space="preserve">Our executive compensation program is composed of the following foundational elements to accomplish our objectives: </w:t>
      </w:r>
    </w:p>
    <w:p>
      <w:pPr>
        <w:pStyle w:val="TextBody"/>
        <w:bidi w:val="0"/>
        <w:spacing w:before="0" w:after="0"/>
        <w:jc w:val="left"/>
        <w:rPr/>
      </w:pPr>
      <w:r>
        <w:rPr/>
        <w:t> </w:t>
      </w:r>
    </w:p>
    <w:tbl>
      <w:tblPr>
        <w:tblW w:w="8352" w:type="dxa"/>
        <w:jc w:val="left"/>
        <w:tblInd w:w="0" w:type="dxa"/>
        <w:tblLayout w:type="fixed"/>
        <w:tblCellMar>
          <w:top w:w="0" w:type="dxa"/>
          <w:left w:w="0" w:type="dxa"/>
          <w:bottom w:w="0" w:type="dxa"/>
          <w:right w:w="0" w:type="dxa"/>
        </w:tblCellMar>
      </w:tblPr>
      <w:tblGrid>
        <w:gridCol w:w="1460"/>
        <w:gridCol w:w="60"/>
        <w:gridCol w:w="1392"/>
        <w:gridCol w:w="120"/>
        <w:gridCol w:w="1535"/>
        <w:gridCol w:w="120"/>
        <w:gridCol w:w="1087"/>
        <w:gridCol w:w="135"/>
        <w:gridCol w:w="2443"/>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8" w:space="0" w:color="7DB655"/>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Pay Element</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1392" w:type="dxa"/>
            <w:tcBorders>
              <w:bottom w:val="single" w:sz="8" w:space="0" w:color="7DB655"/>
            </w:tcBorders>
            <w:tcMar>
              <w:bottom w:w="40" w:type="dxa"/>
            </w:tcMar>
            <w:vAlign w:val="center"/>
          </w:tcPr>
          <w:p>
            <w:pPr>
              <w:pStyle w:val="TableContents"/>
              <w:bidi w:val="0"/>
              <w:spacing w:before="0" w:after="283"/>
              <w:jc w:val="left"/>
              <w:rPr>
                <w:b/>
                <w:color w:val="191919"/>
              </w:rPr>
            </w:pPr>
            <w:r>
              <w:rPr>
                <w:b/>
                <w:color w:val="191919"/>
              </w:rPr>
              <w:t>Form</w:t>
            </w:r>
          </w:p>
        </w:tc>
        <w:tc>
          <w:tcPr>
            <w:tcW w:w="120" w:type="dxa"/>
            <w:tcBorders>
              <w:bottom w:val="single" w:sz="8" w:space="0" w:color="7DB655"/>
            </w:tcBorders>
            <w:tcMar>
              <w:bottom w:w="28" w:type="dxa"/>
            </w:tcMar>
            <w:vAlign w:val="center"/>
          </w:tcPr>
          <w:p>
            <w:pPr>
              <w:pStyle w:val="TableContents"/>
              <w:bidi w:val="0"/>
              <w:spacing w:before="0" w:after="283"/>
              <w:jc w:val="left"/>
              <w:rPr/>
            </w:pPr>
            <w:r>
              <w:rPr/>
              <w:t>  </w:t>
            </w:r>
          </w:p>
        </w:tc>
        <w:tc>
          <w:tcPr>
            <w:tcW w:w="1535" w:type="dxa"/>
            <w:tcBorders>
              <w:bottom w:val="single" w:sz="8"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7DB655"/>
            </w:tcBorders>
            <w:tcMar>
              <w:bottom w:w="28" w:type="dxa"/>
            </w:tcMar>
            <w:vAlign w:val="center"/>
          </w:tcPr>
          <w:p>
            <w:pPr>
              <w:pStyle w:val="TableContents"/>
              <w:bidi w:val="0"/>
              <w:spacing w:before="0" w:after="283"/>
              <w:jc w:val="left"/>
              <w:rPr/>
            </w:pPr>
            <w:r>
              <w:rPr/>
              <w:t>  </w:t>
            </w:r>
          </w:p>
        </w:tc>
        <w:tc>
          <w:tcPr>
            <w:tcW w:w="3665" w:type="dxa"/>
            <w:gridSpan w:val="3"/>
            <w:tcBorders>
              <w:bottom w:val="single" w:sz="8" w:space="0" w:color="7DB655"/>
            </w:tcBorders>
            <w:tcMar>
              <w:bottom w:w="40" w:type="dxa"/>
            </w:tcMar>
            <w:vAlign w:val="center"/>
          </w:tcPr>
          <w:p>
            <w:pPr>
              <w:pStyle w:val="TableContents"/>
              <w:bidi w:val="0"/>
              <w:spacing w:before="0" w:after="283"/>
              <w:jc w:val="left"/>
              <w:rPr>
                <w:b/>
                <w:color w:val="191919"/>
              </w:rPr>
            </w:pPr>
            <w:r>
              <w:rPr>
                <w:b/>
                <w:color w:val="191919"/>
              </w:rPr>
              <w:t>Compensation Objective Addressed</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452"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Base Salary</w:t>
            </w:r>
          </w:p>
        </w:tc>
        <w:tc>
          <w:tcPr>
            <w:tcW w:w="60"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left"/>
              <w:rPr>
                <w:b/>
                <w:color w:val="191919"/>
                <w:sz w:val="18"/>
              </w:rPr>
            </w:pPr>
            <w:r>
              <w:rPr>
                <w:b/>
                <w:color w:val="191919"/>
                <w:sz w:val="18"/>
              </w:rPr>
              <w:t>Cash</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97815" cy="21780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297815" cy="217805"/>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Reward Current Performance</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452"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392"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535"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73050" cy="273050"/>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273050" cy="27305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Attract and Retain</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107" w:type="dxa"/>
            <w:gridSpan w:val="4"/>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Annual Incentive</w:t>
            </w:r>
          </w:p>
        </w:tc>
        <w:tc>
          <w:tcPr>
            <w:tcW w:w="60" w:type="dxa"/>
            <w:tcBorders/>
            <w:vAlign w:val="center"/>
          </w:tcPr>
          <w:p>
            <w:pPr>
              <w:pStyle w:val="TableContents"/>
              <w:bidi w:val="0"/>
              <w:spacing w:before="0" w:after="283"/>
              <w:jc w:val="left"/>
              <w:rPr/>
            </w:pPr>
            <w:r>
              <w:rPr/>
              <w:t> </w:t>
            </w:r>
          </w:p>
        </w:tc>
        <w:tc>
          <w:tcPr>
            <w:tcW w:w="3047" w:type="dxa"/>
            <w:gridSpan w:val="3"/>
            <w:tcBorders/>
            <w:vAlign w:val="center"/>
          </w:tcPr>
          <w:p>
            <w:pPr>
              <w:pStyle w:val="TableContents"/>
              <w:bidi w:val="0"/>
              <w:spacing w:before="0" w:after="283"/>
              <w:jc w:val="left"/>
              <w:rPr>
                <w:b/>
                <w:color w:val="191919"/>
                <w:sz w:val="18"/>
              </w:rPr>
            </w:pPr>
            <w:r>
              <w:rPr>
                <w:b/>
                <w:color w:val="191919"/>
                <w:sz w:val="18"/>
              </w:rPr>
              <w:t>Performance Cash Opportunity</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06705" cy="233680"/>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306705" cy="23368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Shareholder Alignment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452"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97815" cy="21780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297815" cy="217805"/>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Reward Current Performance</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452"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392"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535"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73050" cy="273050"/>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273050" cy="27305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Attract and Retain</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107" w:type="dxa"/>
            <w:gridSpan w:val="4"/>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Long-Term</w:t>
            </w:r>
          </w:p>
          <w:p>
            <w:pPr>
              <w:pStyle w:val="TableContents"/>
              <w:bidi w:val="0"/>
              <w:spacing w:before="0" w:after="20"/>
              <w:jc w:val="left"/>
              <w:rPr>
                <w:rFonts w:ascii="Arial" w:hAnsi="Arial"/>
                <w:b/>
                <w:color w:val="191919"/>
                <w:sz w:val="18"/>
              </w:rPr>
            </w:pPr>
            <w:r>
              <w:rPr>
                <w:rFonts w:ascii="Arial" w:hAnsi="Arial"/>
                <w:b/>
                <w:color w:val="191919"/>
                <w:sz w:val="18"/>
              </w:rPr>
              <w:t>Equity Incentive</w:t>
            </w:r>
          </w:p>
        </w:tc>
        <w:tc>
          <w:tcPr>
            <w:tcW w:w="60" w:type="dxa"/>
            <w:tcBorders/>
            <w:vAlign w:val="center"/>
          </w:tcPr>
          <w:p>
            <w:pPr>
              <w:pStyle w:val="TableContents"/>
              <w:bidi w:val="0"/>
              <w:spacing w:before="0" w:after="283"/>
              <w:jc w:val="left"/>
              <w:rPr/>
            </w:pPr>
            <w:r>
              <w:rPr/>
              <w:t> </w:t>
            </w:r>
          </w:p>
        </w:tc>
        <w:tc>
          <w:tcPr>
            <w:tcW w:w="3047" w:type="dxa"/>
            <w:gridSpan w:val="3"/>
            <w:tcBorders/>
            <w:vAlign w:val="center"/>
          </w:tcPr>
          <w:p>
            <w:pPr>
              <w:pStyle w:val="TableContents"/>
              <w:bidi w:val="0"/>
              <w:spacing w:before="0" w:after="283"/>
              <w:jc w:val="left"/>
              <w:rPr>
                <w:b/>
                <w:color w:val="191919"/>
                <w:sz w:val="18"/>
              </w:rPr>
            </w:pPr>
            <w:r>
              <w:rPr>
                <w:b/>
                <w:color w:val="191919"/>
                <w:sz w:val="18"/>
              </w:rPr>
              <w:t>Performance Shares</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06705" cy="233680"/>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306705" cy="23368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Shareholder Alignment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452"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392" w:type="dxa"/>
            <w:vMerge w:val="restart"/>
            <w:tcBorders/>
            <w:vAlign w:val="center"/>
          </w:tcPr>
          <w:p>
            <w:pPr>
              <w:pStyle w:val="TableContents"/>
              <w:bidi w:val="0"/>
              <w:spacing w:before="0" w:after="0"/>
              <w:jc w:val="center"/>
              <w:rPr/>
            </w:pPr>
            <w:r>
              <w:rPr/>
              <w:drawing>
                <wp:inline distT="0" distB="0" distL="0" distR="0">
                  <wp:extent cx="845820" cy="845820"/>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845820" cy="84582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NEO average</w:t>
            </w:r>
          </w:p>
          <w:p>
            <w:pPr>
              <w:pStyle w:val="TableContents"/>
              <w:bidi w:val="0"/>
              <w:spacing w:before="0" w:after="20"/>
              <w:jc w:val="left"/>
              <w:rPr>
                <w:rFonts w:ascii="Arial" w:hAnsi="Arial"/>
                <w:b/>
                <w:color w:val="191919"/>
                <w:sz w:val="18"/>
              </w:rPr>
            </w:pPr>
            <w:r>
              <w:rPr>
                <w:rFonts w:ascii="Arial" w:hAnsi="Arial"/>
                <w:b/>
                <w:color w:val="191919"/>
                <w:sz w:val="18"/>
              </w:rPr>
              <w:t>target grant value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47015" cy="226060"/>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247015" cy="22606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Drive Future Performance</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39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73050" cy="273050"/>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273050" cy="27305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vAlign w:val="center"/>
          </w:tcPr>
          <w:p>
            <w:pPr>
              <w:pStyle w:val="TableContents"/>
              <w:bidi w:val="0"/>
              <w:spacing w:before="0" w:after="283"/>
              <w:jc w:val="left"/>
              <w:rPr/>
            </w:pPr>
            <w:r>
              <w:rPr/>
              <w:t> </w:t>
            </w:r>
          </w:p>
        </w:tc>
        <w:tc>
          <w:tcPr>
            <w:tcW w:w="2443"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Attract and Retain</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3107" w:type="dxa"/>
            <w:gridSpan w:val="4"/>
            <w:tcBorders>
              <w:top w:val="single" w:sz="6" w:space="0" w:color="7DB655"/>
            </w:tcBorders>
            <w:tcMar>
              <w:top w:w="28" w:type="dxa"/>
            </w:tcMar>
            <w:vAlign w:val="center"/>
          </w:tcPr>
          <w:p>
            <w:pPr>
              <w:pStyle w:val="TableContents"/>
              <w:bidi w:val="0"/>
              <w:spacing w:before="0" w:after="283"/>
              <w:jc w:val="left"/>
              <w:rPr/>
            </w:pPr>
            <w:r>
              <w:rPr/>
              <w:t> </w:t>
            </w:r>
          </w:p>
        </w:tc>
        <w:tc>
          <w:tcPr>
            <w:tcW w:w="120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2578"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47" w:type="dxa"/>
            <w:gridSpan w:val="3"/>
            <w:tcBorders/>
            <w:vAlign w:val="center"/>
          </w:tcPr>
          <w:p>
            <w:pPr>
              <w:pStyle w:val="TableContents"/>
              <w:bidi w:val="0"/>
              <w:spacing w:before="0" w:after="283"/>
              <w:jc w:val="left"/>
              <w:rPr>
                <w:b/>
                <w:color w:val="191919"/>
              </w:rPr>
            </w:pPr>
            <w:r>
              <w:rPr>
                <w:b/>
                <w:color w:val="191919"/>
              </w:rPr>
              <w:t>Restricted Stock</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06705" cy="233680"/>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306705" cy="23368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Shareholder Alignment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452" w:type="dxa"/>
            <w:gridSpan w:val="2"/>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1207" w:type="dxa"/>
            <w:gridSpan w:val="2"/>
            <w:tcBorders/>
            <w:vAlign w:val="center"/>
          </w:tcPr>
          <w:p>
            <w:pPr>
              <w:pStyle w:val="TableContents"/>
              <w:bidi w:val="0"/>
              <w:spacing w:before="0" w:after="283"/>
              <w:jc w:val="left"/>
              <w:rPr>
                <w:sz w:val="4"/>
                <w:szCs w:val="4"/>
              </w:rPr>
            </w:pPr>
            <w:r>
              <w:rPr>
                <w:sz w:val="4"/>
                <w:szCs w:val="4"/>
              </w:rPr>
            </w:r>
          </w:p>
        </w:tc>
        <w:tc>
          <w:tcPr>
            <w:tcW w:w="2578" w:type="dxa"/>
            <w:gridSpan w:val="2"/>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vMerge w:val="restart"/>
            <w:tcBorders>
              <w:bottom w:val="single" w:sz="8" w:space="0" w:color="7DB655"/>
            </w:tcBorders>
            <w:tcMar>
              <w:bottom w:w="28" w:type="dxa"/>
            </w:tcMar>
            <w:vAlign w:val="center"/>
          </w:tcPr>
          <w:p>
            <w:pPr>
              <w:pStyle w:val="TableContents"/>
              <w:bidi w:val="0"/>
              <w:spacing w:before="0" w:after="283"/>
              <w:jc w:val="left"/>
              <w:rPr/>
            </w:pPr>
            <w:r>
              <w:rPr/>
              <w:t> </w:t>
            </w:r>
          </w:p>
        </w:tc>
        <w:tc>
          <w:tcPr>
            <w:tcW w:w="1392" w:type="dxa"/>
            <w:vMerge w:val="restart"/>
            <w:tcBorders>
              <w:bottom w:val="single" w:sz="8" w:space="0" w:color="7DB655"/>
            </w:tcBorders>
            <w:tcMar>
              <w:bottom w:w="60" w:type="dxa"/>
            </w:tcMar>
            <w:vAlign w:val="center"/>
          </w:tcPr>
          <w:p>
            <w:pPr>
              <w:pStyle w:val="TableContents"/>
              <w:bidi w:val="0"/>
              <w:spacing w:before="0" w:after="0"/>
              <w:jc w:val="center"/>
              <w:rPr/>
            </w:pPr>
            <w:r>
              <w:rPr/>
              <w:drawing>
                <wp:inline distT="0" distB="0" distL="0" distR="0">
                  <wp:extent cx="845820" cy="845820"/>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845820" cy="84582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NEO average</w:t>
            </w:r>
          </w:p>
          <w:p>
            <w:pPr>
              <w:pStyle w:val="TableContents"/>
              <w:bidi w:val="0"/>
              <w:spacing w:before="0" w:after="0"/>
              <w:jc w:val="left"/>
              <w:rPr>
                <w:rFonts w:ascii="Arial" w:hAnsi="Arial"/>
                <w:b/>
                <w:color w:val="191919"/>
                <w:sz w:val="18"/>
              </w:rPr>
            </w:pPr>
            <w:r>
              <w:rPr>
                <w:rFonts w:ascii="Arial" w:hAnsi="Arial"/>
                <w:b/>
                <w:color w:val="191919"/>
                <w:sz w:val="18"/>
              </w:rPr>
              <w:t>target grant value</w:t>
            </w:r>
          </w:p>
          <w:p>
            <w:pPr>
              <w:pStyle w:val="TableContents"/>
              <w:bidi w:val="0"/>
              <w:spacing w:before="0" w:after="20"/>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47015" cy="226060"/>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247015" cy="2260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135" w:type="dxa"/>
            <w:tcBorders>
              <w:bottom w:val="single" w:sz="6" w:space="0" w:color="7DB655"/>
            </w:tcBorders>
            <w:tcMar>
              <w:bottom w:w="28" w:type="dxa"/>
            </w:tcMar>
            <w:vAlign w:val="center"/>
          </w:tcPr>
          <w:p>
            <w:pPr>
              <w:pStyle w:val="TableContents"/>
              <w:bidi w:val="0"/>
              <w:spacing w:before="0" w:after="283"/>
              <w:jc w:val="left"/>
              <w:rPr/>
            </w:pPr>
            <w:r>
              <w:rPr/>
              <w:t> </w:t>
            </w:r>
          </w:p>
        </w:tc>
        <w:tc>
          <w:tcPr>
            <w:tcW w:w="2443"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Drive Future Performance</w:t>
            </w:r>
          </w:p>
          <w:p>
            <w:pPr>
              <w:pStyle w:val="TableContents"/>
              <w:bidi w:val="0"/>
              <w:spacing w:before="0" w:after="20"/>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vMerge w:val="continue"/>
            <w:tcBorders>
              <w:bottom w:val="single" w:sz="8" w:space="0" w:color="7DB655"/>
            </w:tcBorders>
            <w:tcMar>
              <w:bottom w:w="28" w:type="dxa"/>
            </w:tcMar>
            <w:vAlign w:val="center"/>
          </w:tcPr>
          <w:p>
            <w:pPr>
              <w:pStyle w:val="Normal"/>
              <w:bidi w:val="0"/>
              <w:jc w:val="left"/>
              <w:rPr/>
            </w:pPr>
            <w:r>
              <w:rPr/>
            </w:r>
          </w:p>
        </w:tc>
        <w:tc>
          <w:tcPr>
            <w:tcW w:w="1392" w:type="dxa"/>
            <w:vMerge w:val="continue"/>
            <w:tcBorders>
              <w:bottom w:val="single" w:sz="8" w:space="0" w:color="7DB655"/>
            </w:tcBorders>
            <w:tcMar>
              <w:bottom w:w="6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120" w:type="dxa"/>
            <w:vMerge w:val="restart"/>
            <w:tcBorders>
              <w:bottom w:val="single" w:sz="8" w:space="0" w:color="7DB655"/>
            </w:tcBorders>
            <w:tcMar>
              <w:bottom w:w="28" w:type="dxa"/>
            </w:tcMar>
            <w:vAlign w:val="center"/>
          </w:tcPr>
          <w:p>
            <w:pPr>
              <w:pStyle w:val="TableContents"/>
              <w:bidi w:val="0"/>
              <w:spacing w:before="0" w:after="283"/>
              <w:jc w:val="left"/>
              <w:rPr/>
            </w:pPr>
            <w:r>
              <w:rPr/>
              <w:t>  </w:t>
            </w:r>
          </w:p>
        </w:tc>
        <w:tc>
          <w:tcPr>
            <w:tcW w:w="1087" w:type="dxa"/>
            <w:vMerge w:val="restart"/>
            <w:tcBorders>
              <w:bottom w:val="single" w:sz="8"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73050" cy="273050"/>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273050" cy="273050"/>
                          </a:xfrm>
                          <a:prstGeom prst="rect">
                            <a:avLst/>
                          </a:prstGeom>
                        </pic:spPr>
                      </pic:pic>
                    </a:graphicData>
                  </a:graphic>
                </wp:inline>
              </w:drawing>
            </w:r>
            <w:r>
              <w:rPr/>
              <w:t xml:space="preserve"> </w:t>
            </w:r>
          </w:p>
          <w:p>
            <w:pPr>
              <w:pStyle w:val="TableContents"/>
              <w:bidi w:val="0"/>
              <w:spacing w:before="0" w:after="20"/>
              <w:jc w:val="left"/>
              <w:rPr/>
            </w:pPr>
            <w:r>
              <w:rPr/>
              <w:t> </w:t>
            </w:r>
          </w:p>
        </w:tc>
        <w:tc>
          <w:tcPr>
            <w:tcW w:w="135" w:type="dxa"/>
            <w:vMerge w:val="restart"/>
            <w:tcBorders>
              <w:bottom w:val="single" w:sz="8" w:space="0" w:color="7DB655"/>
            </w:tcBorders>
            <w:tcMar>
              <w:bottom w:w="28" w:type="dxa"/>
            </w:tcMar>
            <w:vAlign w:val="center"/>
          </w:tcPr>
          <w:p>
            <w:pPr>
              <w:pStyle w:val="TableContents"/>
              <w:bidi w:val="0"/>
              <w:spacing w:before="0" w:after="283"/>
              <w:jc w:val="left"/>
              <w:rPr/>
            </w:pPr>
            <w:r>
              <w:rPr/>
              <w:t> </w:t>
            </w:r>
          </w:p>
        </w:tc>
        <w:tc>
          <w:tcPr>
            <w:tcW w:w="2443" w:type="dxa"/>
            <w:vMerge w:val="restart"/>
            <w:tcBorders>
              <w:bottom w:val="single" w:sz="8"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Attract and Retain</w:t>
            </w:r>
          </w:p>
        </w:tc>
      </w:tr>
      <w:tr>
        <w:trPr/>
        <w:tc>
          <w:tcPr>
            <w:tcW w:w="1460" w:type="dxa"/>
            <w:tcBorders>
              <w:bottom w:val="single" w:sz="8" w:space="0" w:color="7DB655"/>
            </w:tcBorders>
            <w:tcMar>
              <w:bottom w:w="28" w:type="dxa"/>
            </w:tcMar>
            <w:vAlign w:val="center"/>
          </w:tcPr>
          <w:p>
            <w:pPr>
              <w:pStyle w:val="TableContents"/>
              <w:bidi w:val="0"/>
              <w:spacing w:before="0" w:after="283"/>
              <w:jc w:val="left"/>
              <w:rPr/>
            </w:pPr>
            <w:r>
              <w:rPr/>
              <w:t> </w:t>
            </w:r>
          </w:p>
        </w:tc>
        <w:tc>
          <w:tcPr>
            <w:tcW w:w="60" w:type="dxa"/>
            <w:vMerge w:val="continue"/>
            <w:tcBorders>
              <w:bottom w:val="single" w:sz="8" w:space="0" w:color="7DB655"/>
            </w:tcBorders>
            <w:tcMar>
              <w:bottom w:w="28" w:type="dxa"/>
            </w:tcMar>
            <w:vAlign w:val="center"/>
          </w:tcPr>
          <w:p>
            <w:pPr>
              <w:pStyle w:val="Normal"/>
              <w:bidi w:val="0"/>
              <w:jc w:val="left"/>
              <w:rPr/>
            </w:pPr>
            <w:r>
              <w:rPr/>
            </w:r>
          </w:p>
        </w:tc>
        <w:tc>
          <w:tcPr>
            <w:tcW w:w="1392" w:type="dxa"/>
            <w:vMerge w:val="continue"/>
            <w:tcBorders>
              <w:bottom w:val="single" w:sz="8" w:space="0" w:color="7DB655"/>
            </w:tcBorders>
            <w:tcMar>
              <w:bottom w:w="60" w:type="dxa"/>
            </w:tcMar>
            <w:vAlign w:val="center"/>
          </w:tcPr>
          <w:p>
            <w:pPr>
              <w:pStyle w:val="Normal"/>
              <w:bidi w:val="0"/>
              <w:jc w:val="left"/>
              <w:rPr/>
            </w:pPr>
            <w:r>
              <w:rPr/>
            </w:r>
          </w:p>
        </w:tc>
        <w:tc>
          <w:tcPr>
            <w:tcW w:w="120" w:type="dxa"/>
            <w:tcBorders>
              <w:bottom w:val="single" w:sz="8" w:space="0" w:color="7DB655"/>
            </w:tcBorders>
            <w:tcMar>
              <w:bottom w:w="28" w:type="dxa"/>
            </w:tcMar>
            <w:vAlign w:val="center"/>
          </w:tcPr>
          <w:p>
            <w:pPr>
              <w:pStyle w:val="TableContents"/>
              <w:bidi w:val="0"/>
              <w:spacing w:before="0" w:after="283"/>
              <w:jc w:val="left"/>
              <w:rPr/>
            </w:pPr>
            <w:r>
              <w:rPr/>
              <w:t>  </w:t>
            </w:r>
          </w:p>
        </w:tc>
        <w:tc>
          <w:tcPr>
            <w:tcW w:w="1535" w:type="dxa"/>
            <w:tcBorders>
              <w:bottom w:val="single" w:sz="8" w:space="0" w:color="7DB655"/>
            </w:tcBorders>
            <w:tcMar>
              <w:bottom w:w="28" w:type="dxa"/>
            </w:tcMar>
            <w:vAlign w:val="center"/>
          </w:tcPr>
          <w:p>
            <w:pPr>
              <w:pStyle w:val="TableContents"/>
              <w:bidi w:val="0"/>
              <w:spacing w:before="0" w:after="283"/>
              <w:jc w:val="left"/>
              <w:rPr/>
            </w:pPr>
            <w:r>
              <w:rPr/>
              <w:t> </w:t>
            </w:r>
          </w:p>
        </w:tc>
        <w:tc>
          <w:tcPr>
            <w:tcW w:w="120" w:type="dxa"/>
            <w:vMerge w:val="continue"/>
            <w:tcBorders>
              <w:bottom w:val="single" w:sz="8" w:space="0" w:color="7DB655"/>
            </w:tcBorders>
            <w:tcMar>
              <w:bottom w:w="28" w:type="dxa"/>
            </w:tcMar>
            <w:vAlign w:val="center"/>
          </w:tcPr>
          <w:p>
            <w:pPr>
              <w:pStyle w:val="Normal"/>
              <w:bidi w:val="0"/>
              <w:jc w:val="left"/>
              <w:rPr/>
            </w:pPr>
            <w:r>
              <w:rPr/>
            </w:r>
          </w:p>
        </w:tc>
        <w:tc>
          <w:tcPr>
            <w:tcW w:w="1087" w:type="dxa"/>
            <w:vMerge w:val="continue"/>
            <w:tcBorders>
              <w:bottom w:val="single" w:sz="8" w:space="0" w:color="7DB655"/>
            </w:tcBorders>
            <w:tcMar>
              <w:bottom w:w="60" w:type="dxa"/>
            </w:tcMar>
            <w:vAlign w:val="center"/>
          </w:tcPr>
          <w:p>
            <w:pPr>
              <w:pStyle w:val="Normal"/>
              <w:bidi w:val="0"/>
              <w:jc w:val="left"/>
              <w:rPr/>
            </w:pPr>
            <w:r>
              <w:rPr/>
            </w:r>
          </w:p>
        </w:tc>
        <w:tc>
          <w:tcPr>
            <w:tcW w:w="135" w:type="dxa"/>
            <w:vMerge w:val="continue"/>
            <w:tcBorders>
              <w:bottom w:val="single" w:sz="8" w:space="0" w:color="7DB655"/>
            </w:tcBorders>
            <w:tcMar>
              <w:bottom w:w="28" w:type="dxa"/>
            </w:tcMar>
            <w:vAlign w:val="center"/>
          </w:tcPr>
          <w:p>
            <w:pPr>
              <w:pStyle w:val="Normal"/>
              <w:bidi w:val="0"/>
              <w:jc w:val="left"/>
              <w:rPr/>
            </w:pPr>
            <w:r>
              <w:rPr/>
            </w:r>
          </w:p>
        </w:tc>
        <w:tc>
          <w:tcPr>
            <w:tcW w:w="2443" w:type="dxa"/>
            <w:vMerge w:val="continue"/>
            <w:tcBorders>
              <w:bottom w:val="single" w:sz="8" w:space="0" w:color="7DB655"/>
            </w:tcBorders>
            <w:tcMar>
              <w:bottom w:w="60" w:type="dxa"/>
            </w:tcMar>
            <w:vAlign w:val="center"/>
          </w:tcPr>
          <w:p>
            <w:pPr>
              <w:pStyle w:val="Normal"/>
              <w:bidi w:val="0"/>
              <w:jc w:val="left"/>
              <w:rPr/>
            </w:pPr>
            <w:r>
              <w:rPr/>
            </w:r>
          </w:p>
        </w:tc>
      </w:tr>
    </w:tbl>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b/>
              </w:rPr>
            </w:pPr>
            <w:r>
              <w:rPr>
                <w:b/>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Proxy Statement Summary </w:t>
      </w:r>
    </w:p>
    <w:p>
      <w:pPr>
        <w:pStyle w:val="TextBody"/>
        <w:bidi w:val="0"/>
        <w:spacing w:before="0" w:after="0"/>
        <w:jc w:val="left"/>
        <w:rPr>
          <w:rFonts w:ascii="Arial" w:hAnsi="Arial"/>
          <w:sz w:val="16"/>
        </w:rPr>
      </w:pPr>
      <w:r>
        <w:rPr>
          <w:rFonts w:ascii="Arial" w:hAnsi="Arial"/>
          <w:sz w:val="16"/>
        </w:rPr>
        <w:t xml:space="preserve">Executive Compensation Highlights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Fiscal 2026 Executive Target Compensation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85180" cy="1784350"/>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5885180" cy="1784350"/>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maintains a thoughtful approach to our executive compensation program design and governance practices in furtherance of our objectives. The following table summarizes these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3"/>
        <w:gridCol w:w="60"/>
        <w:gridCol w:w="4527"/>
        <w:gridCol w:w="60"/>
        <w:gridCol w:w="368"/>
        <w:gridCol w:w="60"/>
        <w:gridCol w:w="410"/>
        <w:gridCol w:w="120"/>
        <w:gridCol w:w="4087"/>
      </w:tblGrid>
      <w:tr>
        <w:trPr/>
        <w:tc>
          <w:tcPr>
            <w:tcW w:w="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bottom w:val="single" w:sz="8" w:space="0" w:color="7DB655"/>
            </w:tcBorders>
            <w:tcMar>
              <w:bottom w:w="40" w:type="dxa"/>
            </w:tcMar>
            <w:vAlign w:val="center"/>
          </w:tcPr>
          <w:p>
            <w:pPr>
              <w:pStyle w:val="TableContents"/>
              <w:bidi w:val="0"/>
              <w:spacing w:before="0" w:after="0"/>
              <w:jc w:val="left"/>
              <w:rPr>
                <w:rFonts w:ascii="Arial" w:hAnsi="Arial"/>
                <w:b/>
                <w:color w:val="7DB655"/>
                <w:sz w:val="16"/>
              </w:rPr>
            </w:pPr>
            <w:r>
              <w:rPr>
                <w:rFonts w:ascii="Arial" w:hAnsi="Arial"/>
                <w:b/>
                <w:color w:val="7DB655"/>
                <w:sz w:val="16"/>
              </w:rPr>
              <w:t>What We Do</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4617" w:type="dxa"/>
            <w:gridSpan w:val="3"/>
            <w:tcBorders>
              <w:bottom w:val="single" w:sz="8" w:space="0" w:color="7DB655"/>
            </w:tcBorders>
            <w:tcMar>
              <w:bottom w:w="40" w:type="dxa"/>
            </w:tcMar>
            <w:vAlign w:val="center"/>
          </w:tcPr>
          <w:p>
            <w:pPr>
              <w:pStyle w:val="TableContents"/>
              <w:bidi w:val="0"/>
              <w:spacing w:before="0" w:after="0"/>
              <w:jc w:val="left"/>
              <w:rPr>
                <w:rFonts w:ascii="Arial" w:hAnsi="Arial"/>
                <w:b/>
                <w:color w:val="7DB655"/>
                <w:sz w:val="16"/>
              </w:rPr>
            </w:pPr>
            <w:r>
              <w:rPr>
                <w:rFonts w:ascii="Arial" w:hAnsi="Arial"/>
                <w:b/>
                <w:color w:val="7DB655"/>
                <w:sz w:val="16"/>
              </w:rPr>
              <w:t>What We Don’t Do</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0"/>
              <w:jc w:val="left"/>
              <w:rPr/>
            </w:pPr>
            <w:r>
              <w:rPr/>
              <w:t> </w:t>
            </w:r>
          </w:p>
          <w:p>
            <w:pPr>
              <w:pStyle w:val="TableContents"/>
              <w:bidi w:val="0"/>
              <w:spacing w:before="0" w:after="0"/>
              <w:jc w:val="center"/>
              <w:rPr/>
            </w:pPr>
            <w:r>
              <w:rPr/>
              <w:t xml:space="preserve">  </w:t>
            </w:r>
            <w:r>
              <w:rPr/>
              <w:drawing>
                <wp:inline distT="0" distB="0" distL="0" distR="0">
                  <wp:extent cx="200660" cy="207010"/>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200660" cy="2070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Promote a strong pay for performance plan design</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shd w:fill="EFFCED" w:val="clear"/>
            <w:vAlign w:val="center"/>
          </w:tcPr>
          <w:p>
            <w:pPr>
              <w:pStyle w:val="TableContents"/>
              <w:bidi w:val="0"/>
              <w:spacing w:before="0" w:after="283"/>
              <w:jc w:val="left"/>
              <w:rPr/>
            </w:pPr>
            <w:r>
              <w:rPr/>
              <w:t> </w:t>
            </w:r>
          </w:p>
        </w:tc>
        <w:tc>
          <w:tcPr>
            <w:tcW w:w="410" w:type="dxa"/>
            <w:tcBorders/>
            <w:shd w:fill="EFFCED"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96215" cy="201930"/>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96215" cy="20193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No hedging, pledging, or short sales of stock permitted</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283"/>
              <w:jc w:val="center"/>
              <w:rPr/>
            </w:pPr>
            <w:r>
              <w:rPr/>
              <w:drawing>
                <wp:inline distT="0" distB="0" distL="0" distR="0">
                  <wp:extent cx="200660" cy="207010"/>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Regularly benchmark executive compensation against peers of comparable size, complexity, and industry</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color w:val="191919"/>
              </w:rPr>
            </w:pPr>
            <w:r>
              <w:rPr>
                <w:color w:val="191919"/>
              </w:rPr>
              <w:t>  </w:t>
            </w:r>
          </w:p>
        </w:tc>
        <w:tc>
          <w:tcPr>
            <w:tcW w:w="60" w:type="dxa"/>
            <w:tcBorders/>
            <w:shd w:fill="EFFCED" w:val="clear"/>
            <w:vAlign w:val="center"/>
          </w:tcPr>
          <w:p>
            <w:pPr>
              <w:pStyle w:val="TableContents"/>
              <w:bidi w:val="0"/>
              <w:spacing w:before="0" w:after="283"/>
              <w:jc w:val="left"/>
              <w:rPr/>
            </w:pPr>
            <w:r>
              <w:rPr/>
              <w:t> </w:t>
            </w:r>
          </w:p>
        </w:tc>
        <w:tc>
          <w:tcPr>
            <w:tcW w:w="410" w:type="dxa"/>
            <w:tcBorders/>
            <w:shd w:fill="EFFCED" w:val="clear"/>
            <w:vAlign w:val="center"/>
          </w:tcPr>
          <w:p>
            <w:pPr>
              <w:pStyle w:val="TableContents"/>
              <w:bidi w:val="0"/>
              <w:spacing w:before="0" w:after="283"/>
              <w:jc w:val="center"/>
              <w:rPr/>
            </w:pPr>
            <w:r>
              <w:rPr/>
              <w:drawing>
                <wp:inline distT="0" distB="0" distL="0" distR="0">
                  <wp:extent cx="196215" cy="201930"/>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No change in control excise tax gross ups</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283"/>
              <w:jc w:val="center"/>
              <w:rPr/>
            </w:pPr>
            <w:r>
              <w:rPr/>
              <w:drawing>
                <wp:inline distT="0" distB="0" distL="0" distR="0">
                  <wp:extent cx="200660" cy="207010"/>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Maintain meaningful stock ownership guidelines for our directors and executive officers</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shd w:fill="EFFCED" w:val="clear"/>
            <w:vAlign w:val="center"/>
          </w:tcPr>
          <w:p>
            <w:pPr>
              <w:pStyle w:val="TableContents"/>
              <w:bidi w:val="0"/>
              <w:spacing w:before="0" w:after="283"/>
              <w:jc w:val="left"/>
              <w:rPr/>
            </w:pPr>
            <w:r>
              <w:rPr/>
              <w:t> </w:t>
            </w:r>
          </w:p>
        </w:tc>
        <w:tc>
          <w:tcPr>
            <w:tcW w:w="410" w:type="dxa"/>
            <w:tcBorders/>
            <w:shd w:fill="EFFCED" w:val="clear"/>
            <w:vAlign w:val="center"/>
          </w:tcPr>
          <w:p>
            <w:pPr>
              <w:pStyle w:val="TableContents"/>
              <w:bidi w:val="0"/>
              <w:spacing w:before="0" w:after="283"/>
              <w:jc w:val="center"/>
              <w:rPr/>
            </w:pPr>
            <w:r>
              <w:rPr/>
              <w:drawing>
                <wp:inline distT="0" distB="0" distL="0" distR="0">
                  <wp:extent cx="196215" cy="201930"/>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No option repricing without shareholder approval</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283"/>
              <w:jc w:val="center"/>
              <w:rPr/>
            </w:pPr>
            <w:r>
              <w:rPr/>
              <w:drawing>
                <wp:inline distT="0" distB="0" distL="0" distR="0">
                  <wp:extent cx="200660" cy="207010"/>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Have double trigger requirements on cash payments following a change in control</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shd w:fill="EFFCED" w:val="clear"/>
            <w:vAlign w:val="center"/>
          </w:tcPr>
          <w:p>
            <w:pPr>
              <w:pStyle w:val="TableContents"/>
              <w:bidi w:val="0"/>
              <w:spacing w:before="0" w:after="283"/>
              <w:jc w:val="left"/>
              <w:rPr/>
            </w:pPr>
            <w:r>
              <w:rPr/>
              <w:t> </w:t>
            </w:r>
          </w:p>
        </w:tc>
        <w:tc>
          <w:tcPr>
            <w:tcW w:w="410" w:type="dxa"/>
            <w:tcBorders/>
            <w:shd w:fill="EFFCED" w:val="clear"/>
            <w:vAlign w:val="center"/>
          </w:tcPr>
          <w:p>
            <w:pPr>
              <w:pStyle w:val="TableContents"/>
              <w:bidi w:val="0"/>
              <w:spacing w:before="0" w:after="283"/>
              <w:jc w:val="center"/>
              <w:rPr/>
            </w:pPr>
            <w:r>
              <w:rPr/>
              <w:drawing>
                <wp:inline distT="0" distB="0" distL="0" distR="0">
                  <wp:extent cx="196215" cy="201930"/>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No perquisites offered, other than those generally provided to all employees</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283"/>
              <w:jc w:val="center"/>
              <w:rPr/>
            </w:pPr>
            <w:r>
              <w:rPr/>
              <w:drawing>
                <wp:inline distT="0" distB="0" distL="0" distR="0">
                  <wp:extent cx="200660" cy="207010"/>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Conduct an annual compensation risk review</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shd w:fill="EFFCED" w:val="clear"/>
            <w:vAlign w:val="center"/>
          </w:tcPr>
          <w:p>
            <w:pPr>
              <w:pStyle w:val="TableContents"/>
              <w:bidi w:val="0"/>
              <w:spacing w:before="0" w:after="283"/>
              <w:jc w:val="left"/>
              <w:rPr/>
            </w:pPr>
            <w:r>
              <w:rPr/>
              <w:t> </w:t>
            </w:r>
          </w:p>
        </w:tc>
        <w:tc>
          <w:tcPr>
            <w:tcW w:w="410" w:type="dxa"/>
            <w:tcBorders/>
            <w:shd w:fill="EFFCED" w:val="clear"/>
            <w:vAlign w:val="center"/>
          </w:tcPr>
          <w:p>
            <w:pPr>
              <w:pStyle w:val="TableContents"/>
              <w:bidi w:val="0"/>
              <w:spacing w:before="0" w:after="283"/>
              <w:jc w:val="center"/>
              <w:rPr/>
            </w:pPr>
            <w:r>
              <w:rPr/>
              <w:drawing>
                <wp:inline distT="0" distB="0" distL="0" distR="0">
                  <wp:extent cx="196215" cy="201930"/>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No dividends paid and no voting rights on unvested performance-based equity awards</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283"/>
              <w:jc w:val="center"/>
              <w:rPr/>
            </w:pPr>
            <w:r>
              <w:rPr/>
              <w:drawing>
                <wp:inline distT="0" distB="0" distL="0" distR="0">
                  <wp:extent cx="200660" cy="207010"/>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Provide reasonable and standardized benefits upon severance or change in control</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shd w:fill="EFFCED" w:val="clear"/>
            <w:vAlign w:val="center"/>
          </w:tcPr>
          <w:p>
            <w:pPr>
              <w:pStyle w:val="TableContents"/>
              <w:bidi w:val="0"/>
              <w:spacing w:before="0" w:after="283"/>
              <w:jc w:val="left"/>
              <w:rPr/>
            </w:pPr>
            <w:r>
              <w:rPr/>
              <w:t> </w:t>
            </w:r>
          </w:p>
        </w:tc>
        <w:tc>
          <w:tcPr>
            <w:tcW w:w="410" w:type="dxa"/>
            <w:tcBorders/>
            <w:shd w:fill="EFFCED" w:val="clear"/>
            <w:vAlign w:val="center"/>
          </w:tcPr>
          <w:p>
            <w:pPr>
              <w:pStyle w:val="TableContents"/>
              <w:bidi w:val="0"/>
              <w:spacing w:before="0" w:after="283"/>
              <w:jc w:val="center"/>
              <w:rPr/>
            </w:pPr>
            <w:r>
              <w:rPr/>
              <w:drawing>
                <wp:inline distT="0" distB="0" distL="0" distR="0">
                  <wp:extent cx="196215" cy="201930"/>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No duplication of metrics in annual and long-term incentive plans</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207" w:type="dxa"/>
            <w:gridSpan w:val="2"/>
            <w:tcBorders>
              <w:top w:val="single" w:sz="6" w:space="0" w:color="7DB655"/>
            </w:tcBorders>
            <w:tcMar>
              <w:top w:w="28" w:type="dxa"/>
            </w:tcMar>
            <w:vAlign w:val="center"/>
          </w:tcPr>
          <w:p>
            <w:pPr>
              <w:pStyle w:val="TableContents"/>
              <w:bidi w:val="0"/>
              <w:spacing w:before="0" w:after="283"/>
              <w:jc w:val="left"/>
              <w:rPr/>
            </w:pPr>
            <w:r>
              <w:rPr/>
              <w:t> </w:t>
            </w:r>
          </w:p>
        </w:tc>
      </w:tr>
      <w:tr>
        <w:trPr/>
        <w:tc>
          <w:tcPr>
            <w:tcW w:w="513" w:type="dxa"/>
            <w:tcBorders/>
            <w:shd w:fill="EFFCED"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660" cy="207010"/>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200660" cy="2070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27" w:type="dxa"/>
            <w:tcBorders/>
            <w:vAlign w:val="center"/>
          </w:tcPr>
          <w:p>
            <w:pPr>
              <w:pStyle w:val="TableContents"/>
              <w:bidi w:val="0"/>
              <w:spacing w:before="0" w:after="20"/>
              <w:jc w:val="left"/>
              <w:rPr>
                <w:rFonts w:ascii="Arial" w:hAnsi="Arial"/>
                <w:color w:val="191919"/>
                <w:sz w:val="18"/>
              </w:rPr>
            </w:pPr>
            <w:r>
              <w:rPr>
                <w:rFonts w:ascii="Arial" w:hAnsi="Arial"/>
                <w:color w:val="191919"/>
                <w:sz w:val="18"/>
              </w:rPr>
              <w:t>Engage independent compensation consultants</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7DB655"/>
            </w:tcBorders>
            <w:shd w:fill="EFFCED" w:val="clear"/>
            <w:tcMar>
              <w:bottom w:w="28" w:type="dxa"/>
            </w:tcMar>
            <w:vAlign w:val="center"/>
          </w:tcPr>
          <w:p>
            <w:pPr>
              <w:pStyle w:val="TableContents"/>
              <w:bidi w:val="0"/>
              <w:spacing w:before="0" w:after="283"/>
              <w:jc w:val="left"/>
              <w:rPr/>
            </w:pPr>
            <w:r>
              <w:rPr/>
              <w:t> </w:t>
            </w:r>
          </w:p>
        </w:tc>
        <w:tc>
          <w:tcPr>
            <w:tcW w:w="410" w:type="dxa"/>
            <w:tcBorders>
              <w:bottom w:val="single" w:sz="8"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8" w:space="0" w:color="7DB655"/>
            </w:tcBorders>
            <w:tcMar>
              <w:bottom w:w="28" w:type="dxa"/>
            </w:tcMar>
            <w:vAlign w:val="center"/>
          </w:tcPr>
          <w:p>
            <w:pPr>
              <w:pStyle w:val="TableContents"/>
              <w:bidi w:val="0"/>
              <w:spacing w:before="0" w:after="283"/>
              <w:jc w:val="left"/>
              <w:rPr/>
            </w:pPr>
            <w:r>
              <w:rPr/>
              <w:t>  </w:t>
            </w:r>
          </w:p>
        </w:tc>
        <w:tc>
          <w:tcPr>
            <w:tcW w:w="4087" w:type="dxa"/>
            <w:tcBorders>
              <w:bottom w:val="single" w:sz="8"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No supplemental executive retirement plans</w:t>
            </w:r>
          </w:p>
        </w:tc>
      </w:tr>
      <w:tr>
        <w:trPr/>
        <w:tc>
          <w:tcPr>
            <w:tcW w:w="513" w:type="dxa"/>
            <w:tcBorders>
              <w:top w:val="single" w:sz="6" w:space="0" w:color="7DB655"/>
            </w:tcBorders>
            <w:shd w:fill="EFFCED" w:val="clear"/>
            <w:tcMar>
              <w:top w:w="28" w:type="dxa"/>
            </w:tcMar>
            <w:vAlign w:val="center"/>
          </w:tcPr>
          <w:p>
            <w:pPr>
              <w:pStyle w:val="TableContents"/>
              <w:bidi w:val="0"/>
              <w:spacing w:before="0" w:after="283"/>
              <w:jc w:val="left"/>
              <w:rPr/>
            </w:pPr>
            <w:r>
              <w:rPr/>
              <w:t> </w:t>
            </w:r>
          </w:p>
        </w:tc>
        <w:tc>
          <w:tcPr>
            <w:tcW w:w="4587" w:type="dxa"/>
            <w:gridSpan w:val="2"/>
            <w:tcBorders>
              <w:top w:val="single" w:sz="6" w:space="0" w:color="7DB655"/>
            </w:tcBorders>
            <w:tcMar>
              <w:top w:w="28" w:type="dxa"/>
            </w:tcMar>
            <w:vAlign w:val="center"/>
          </w:tcPr>
          <w:p>
            <w:pPr>
              <w:pStyle w:val="TableContents"/>
              <w:bidi w:val="0"/>
              <w:spacing w:before="0" w:after="283"/>
              <w:jc w:val="left"/>
              <w:rPr/>
            </w:pPr>
            <w:r>
              <w:rPr/>
              <w:t> </w:t>
            </w:r>
          </w:p>
        </w:tc>
        <w:tc>
          <w:tcPr>
            <w:tcW w:w="428"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207" w:type="dxa"/>
            <w:gridSpan w:val="2"/>
            <w:tcBorders/>
            <w:vAlign w:val="center"/>
          </w:tcPr>
          <w:p>
            <w:pPr>
              <w:pStyle w:val="TableContents"/>
              <w:bidi w:val="0"/>
              <w:spacing w:before="0" w:after="283"/>
              <w:jc w:val="left"/>
              <w:rPr>
                <w:sz w:val="4"/>
                <w:szCs w:val="4"/>
              </w:rPr>
            </w:pPr>
            <w:r>
              <w:rPr>
                <w:sz w:val="4"/>
                <w:szCs w:val="4"/>
              </w:rPr>
            </w:r>
          </w:p>
        </w:tc>
      </w:tr>
      <w:tr>
        <w:trPr/>
        <w:tc>
          <w:tcPr>
            <w:tcW w:w="513" w:type="dxa"/>
            <w:tcBorders>
              <w:bottom w:val="single" w:sz="8" w:space="0" w:color="7DB655"/>
            </w:tcBorders>
            <w:shd w:fill="EFFCED" w:val="clear"/>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660" cy="207010"/>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200660" cy="2070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4527" w:type="dxa"/>
            <w:tcBorders>
              <w:bottom w:val="single" w:sz="8"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Maintain an incentive compensation “clawback” policy</w:t>
            </w:r>
          </w:p>
        </w:tc>
        <w:tc>
          <w:tcPr>
            <w:tcW w:w="6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753" w:type="dxa"/>
        <w:jc w:val="left"/>
        <w:tblInd w:w="0" w:type="dxa"/>
        <w:tblLayout w:type="fixed"/>
        <w:tblCellMar>
          <w:top w:w="0" w:type="dxa"/>
          <w:left w:w="0" w:type="dxa"/>
          <w:bottom w:w="0" w:type="dxa"/>
          <w:right w:w="0" w:type="dxa"/>
        </w:tblCellMar>
      </w:tblPr>
      <w:tblGrid>
        <w:gridCol w:w="75"/>
        <w:gridCol w:w="125"/>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right"/>
              <w:rPr>
                <w:sz w:val="20"/>
              </w:rPr>
            </w:pPr>
            <w:r>
              <w:rPr>
                <w:sz w:val="20"/>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5" w:name="toc36145_3"/>
      <w:bookmarkEnd w:id="5"/>
      <w:r>
        <w:rPr>
          <w:rFonts w:ascii="Arial" w:hAnsi="Arial"/>
          <w:b/>
          <w:color w:val="0A7DAC"/>
          <w:sz w:val="40"/>
        </w:rPr>
        <w:t xml:space="preserve">Proposal 1: </w:t>
      </w:r>
    </w:p>
    <w:p>
      <w:pPr>
        <w:pStyle w:val="TextBody"/>
        <w:bidi w:val="0"/>
        <w:spacing w:before="0" w:after="0"/>
        <w:jc w:val="left"/>
        <w:rPr>
          <w:rFonts w:ascii="Arial" w:hAnsi="Arial"/>
          <w:b/>
          <w:color w:val="0A7DAC"/>
          <w:sz w:val="40"/>
        </w:rPr>
      </w:pPr>
      <w:bookmarkStart w:id="6" w:name="txa136145_1"/>
      <w:bookmarkEnd w:id="6"/>
      <w:r>
        <w:rPr>
          <w:rFonts w:ascii="Arial" w:hAnsi="Arial"/>
          <w:b/>
          <w:color w:val="0A7DAC"/>
          <w:sz w:val="40"/>
        </w:rPr>
        <w:t xml:space="preserve">Election of Directors </w:t>
      </w:r>
    </w:p>
    <w:p>
      <w:pPr>
        <w:pStyle w:val="TextBody"/>
        <w:bidi w:val="0"/>
        <w:spacing w:before="240" w:after="0"/>
        <w:jc w:val="left"/>
        <w:rPr>
          <w:rFonts w:ascii="Arial" w:hAnsi="Arial"/>
          <w:color w:val="191919"/>
          <w:sz w:val="18"/>
        </w:rPr>
      </w:pPr>
      <w:r>
        <w:rPr>
          <w:rFonts w:ascii="Arial" w:hAnsi="Arial"/>
          <w:color w:val="191919"/>
          <w:sz w:val="18"/>
        </w:rPr>
        <w:t xml:space="preserve">The Company’s Board currently consists of eight directors. J. Kent Sweezey will retire from the Board effective at the conclusion of the 2026 Annual Meeting, as he has reached the mandatory retirement age of 73 under our Corporate Governance Guidelines. Mr. Sweezey joined our Board in 2016 and has served as our Compensation &amp; Talent Development Committee Chair since 2021. Mr. Sweezey has contributed meaningfully to making the Company what it is today, and we thank Mr. Sweezey for his ten years of distinguished service and the leadership he has provided to the Company during his tenure. </w:t>
      </w:r>
    </w:p>
    <w:p>
      <w:pPr>
        <w:pStyle w:val="TextBody"/>
        <w:bidi w:val="0"/>
        <w:spacing w:before="240" w:after="0"/>
        <w:jc w:val="left"/>
        <w:rPr>
          <w:rFonts w:ascii="Arial" w:hAnsi="Arial"/>
          <w:color w:val="191919"/>
          <w:sz w:val="18"/>
        </w:rPr>
      </w:pPr>
      <w:r>
        <w:rPr>
          <w:rFonts w:ascii="Arial" w:hAnsi="Arial"/>
          <w:color w:val="191919"/>
          <w:sz w:val="18"/>
        </w:rPr>
        <w:t xml:space="preserve">The Board has nominated </w:t>
      </w:r>
      <w:r>
        <w:rPr>
          <w:rFonts w:ascii="Arial" w:hAnsi="Arial"/>
          <w:b/>
          <w:color w:val="191919"/>
          <w:sz w:val="18"/>
        </w:rPr>
        <w:t>Joseph B. Armes</w:t>
      </w:r>
      <w:r>
        <w:rPr>
          <w:rFonts w:ascii="Arial" w:hAnsi="Arial"/>
          <w:color w:val="191919"/>
          <w:sz w:val="18"/>
        </w:rPr>
        <w:t xml:space="preserve">, </w:t>
      </w:r>
      <w:r>
        <w:rPr>
          <w:rFonts w:ascii="Arial" w:hAnsi="Arial"/>
          <w:b/>
          <w:color w:val="191919"/>
          <w:sz w:val="18"/>
        </w:rPr>
        <w:t>Darron K. Ash</w:t>
      </w:r>
      <w:r>
        <w:rPr>
          <w:rFonts w:ascii="Arial" w:hAnsi="Arial"/>
          <w:color w:val="191919"/>
          <w:sz w:val="18"/>
        </w:rPr>
        <w:t xml:space="preserve">, </w:t>
      </w:r>
      <w:r>
        <w:rPr>
          <w:rFonts w:ascii="Arial" w:hAnsi="Arial"/>
          <w:b/>
          <w:color w:val="191919"/>
          <w:sz w:val="18"/>
        </w:rPr>
        <w:t>Michael R. Gambrell</w:t>
      </w:r>
      <w:r>
        <w:rPr>
          <w:rFonts w:ascii="Arial" w:hAnsi="Arial"/>
          <w:color w:val="191919"/>
          <w:sz w:val="18"/>
        </w:rPr>
        <w:t xml:space="preserve">, </w:t>
      </w:r>
      <w:r>
        <w:rPr>
          <w:rFonts w:ascii="Arial" w:hAnsi="Arial"/>
          <w:b/>
          <w:color w:val="191919"/>
          <w:sz w:val="18"/>
        </w:rPr>
        <w:t>Bobby Griffin</w:t>
      </w:r>
      <w:r>
        <w:rPr>
          <w:rFonts w:ascii="Arial" w:hAnsi="Arial"/>
          <w:color w:val="191919"/>
          <w:sz w:val="18"/>
        </w:rPr>
        <w:t xml:space="preserve">, </w:t>
      </w:r>
      <w:r>
        <w:rPr>
          <w:rFonts w:ascii="Arial" w:hAnsi="Arial"/>
          <w:b/>
          <w:color w:val="191919"/>
          <w:sz w:val="18"/>
        </w:rPr>
        <w:t>Terry L. Johnston</w:t>
      </w:r>
      <w:r>
        <w:rPr>
          <w:rFonts w:ascii="Arial" w:hAnsi="Arial"/>
          <w:color w:val="191919"/>
          <w:sz w:val="18"/>
        </w:rPr>
        <w:t xml:space="preserve">, </w:t>
      </w:r>
      <w:r>
        <w:rPr>
          <w:rFonts w:ascii="Arial" w:hAnsi="Arial"/>
          <w:b/>
          <w:color w:val="191919"/>
          <w:sz w:val="18"/>
        </w:rPr>
        <w:t>Linda A. Livingstone</w:t>
      </w:r>
      <w:r>
        <w:rPr>
          <w:rFonts w:ascii="Arial" w:hAnsi="Arial"/>
          <w:color w:val="191919"/>
          <w:sz w:val="18"/>
        </w:rPr>
        <w:t xml:space="preserve">, and </w:t>
      </w:r>
      <w:r>
        <w:rPr>
          <w:rFonts w:ascii="Arial" w:hAnsi="Arial"/>
          <w:b/>
          <w:color w:val="191919"/>
          <w:sz w:val="18"/>
        </w:rPr>
        <w:t>Anne B. Motsenbocker</w:t>
      </w:r>
      <w:r>
        <w:rPr>
          <w:rFonts w:ascii="Arial" w:hAnsi="Arial"/>
          <w:color w:val="191919"/>
          <w:sz w:val="18"/>
        </w:rPr>
        <w:t xml:space="preserve">, whose terms of office are expiring at this 2026 Annual Meeting, to serve a one-year term that will expire at the 2027 annual meeting of shareholders. Immediately following the vote for election of directors at the 2026 Annual Meeting, the number of directors on the Board will be reduced from eight to seven. </w:t>
      </w:r>
    </w:p>
    <w:p>
      <w:pPr>
        <w:pStyle w:val="TextBody"/>
        <w:bidi w:val="0"/>
        <w:spacing w:before="240" w:after="0"/>
        <w:jc w:val="left"/>
        <w:rPr>
          <w:rFonts w:ascii="Arial" w:hAnsi="Arial"/>
          <w:color w:val="191919"/>
          <w:sz w:val="18"/>
        </w:rPr>
      </w:pPr>
      <w:r>
        <w:rPr>
          <w:rFonts w:ascii="Arial" w:hAnsi="Arial"/>
          <w:color w:val="191919"/>
          <w:sz w:val="18"/>
        </w:rPr>
        <w:t xml:space="preserve">All director nominees were elected by shareholders at the 2025 annual meeting. Biographical information regarding the director nominees is provided on the following pages. </w:t>
      </w:r>
    </w:p>
    <w:p>
      <w:pPr>
        <w:pStyle w:val="TextBody"/>
        <w:bidi w:val="0"/>
        <w:spacing w:before="360" w:after="0"/>
        <w:jc w:val="left"/>
        <w:rPr>
          <w:rFonts w:ascii="Arial" w:hAnsi="Arial"/>
          <w:b/>
          <w:color w:val="7DB655"/>
          <w:sz w:val="30"/>
        </w:rPr>
      </w:pPr>
      <w:bookmarkStart w:id="7" w:name="toc36145_4"/>
      <w:bookmarkEnd w:id="7"/>
      <w:r>
        <w:rPr>
          <w:rFonts w:ascii="Arial" w:hAnsi="Arial"/>
          <w:b/>
          <w:color w:val="7DB655"/>
          <w:sz w:val="30"/>
        </w:rPr>
        <w:t xml:space="preserve">Required Vote and Recommendation </w:t>
      </w:r>
    </w:p>
    <w:p>
      <w:pPr>
        <w:pStyle w:val="TextBody"/>
        <w:bidi w:val="0"/>
        <w:spacing w:before="240" w:after="0"/>
        <w:jc w:val="left"/>
        <w:rPr>
          <w:rFonts w:ascii="Arial" w:hAnsi="Arial"/>
          <w:color w:val="191919"/>
          <w:sz w:val="18"/>
        </w:rPr>
      </w:pPr>
      <w:r>
        <w:rPr>
          <w:rFonts w:ascii="Arial" w:hAnsi="Arial"/>
          <w:color w:val="191919"/>
          <w:sz w:val="18"/>
        </w:rPr>
        <w:t xml:space="preserve">Our Certificate of Incorporation provides provide that, in an uncontested election, each director nominee shall be elected by a majority of the votes cast in person or represented by proxy. This means that the number of shares cast “for” a director nominee’s election must exceed the number of votes “withheld” from that director nominee. If this were a contested election, the directors would be elected by a plurality of the votes cast, meaning the director nominees receiving the largest number of “for” votes would be elected. For more information, see “General Voting and Meeting Information—Voting—Counting of Votes.” </w:t>
      </w:r>
    </w:p>
    <w:p>
      <w:pPr>
        <w:pStyle w:val="TextBody"/>
        <w:bidi w:val="0"/>
        <w:spacing w:before="240" w:after="0"/>
        <w:jc w:val="left"/>
        <w:rPr>
          <w:rFonts w:ascii="Arial" w:hAnsi="Arial"/>
          <w:color w:val="191919"/>
          <w:sz w:val="18"/>
        </w:rPr>
      </w:pPr>
      <w:r>
        <w:rPr>
          <w:rFonts w:ascii="Arial" w:hAnsi="Arial"/>
          <w:color w:val="191919"/>
          <w:sz w:val="18"/>
        </w:rPr>
        <w:t xml:space="preserve">Our Corporate Governance Guidelines provide that in an uncontested election, any incumbent director who does not receive the affirmative vote of a majority of the votes cast must tender his or her resignation promptly after such election. The remaining independent directors of the Board, giving due consideration to the best interests of CSW and our shareholders, will then evaluate the relevant facts and circumstances and make a decision, within 30 days after election results are certified, on whether to accept the tendered resignation. The Board will promptly disclose publicly its decision and, if applicable, the reasons for rejecting the tendered resignation. The Board may fill any vacancy resulting from a director’s accepted resignation. </w:t>
      </w:r>
    </w:p>
    <w:p>
      <w:pPr>
        <w:pStyle w:val="TextBody"/>
        <w:bidi w:val="0"/>
        <w:spacing w:before="240" w:after="0"/>
        <w:jc w:val="left"/>
        <w:rPr>
          <w:rFonts w:ascii="Arial" w:hAnsi="Arial"/>
          <w:color w:val="191919"/>
          <w:sz w:val="18"/>
        </w:rPr>
      </w:pPr>
      <w:r>
        <w:rPr>
          <w:rFonts w:ascii="Arial" w:hAnsi="Arial"/>
          <w:color w:val="191919"/>
          <w:sz w:val="18"/>
        </w:rPr>
        <w:t xml:space="preserve">The individuals named as proxies on the enclosed proxy card will vote your proxy “FOR” the election of these director nominees unless you instruct otherwise or you withhold authority to vote for any one or more of the director nominees. If any director is unable to stand for re-election, the Board may reduce the number of directors or choose a substitute director nominee. The director nominees have indicated their willingness to serve as directors, and we have no reason to believe the director nominees will not be able to stand for re-election. </w:t>
      </w:r>
    </w:p>
    <w:p>
      <w:pPr>
        <w:pStyle w:val="TextBody"/>
        <w:bidi w:val="0"/>
        <w:spacing w:before="0" w:after="0"/>
        <w:jc w:val="left"/>
        <w:rPr/>
      </w:pPr>
      <w:r>
        <w:rPr/>
        <w:t> </w:t>
      </w:r>
    </w:p>
    <w:tbl>
      <w:tblPr>
        <w:tblW w:w="9059" w:type="dxa"/>
        <w:jc w:val="left"/>
        <w:tblInd w:w="0" w:type="dxa"/>
        <w:tblLayout w:type="fixed"/>
        <w:tblCellMar>
          <w:top w:w="0" w:type="dxa"/>
          <w:left w:w="0" w:type="dxa"/>
          <w:bottom w:w="0" w:type="dxa"/>
          <w:right w:w="0" w:type="dxa"/>
        </w:tblCellMar>
      </w:tblPr>
      <w:tblGrid>
        <w:gridCol w:w="519"/>
        <w:gridCol w:w="120"/>
        <w:gridCol w:w="8420"/>
      </w:tblGrid>
      <w:tr>
        <w:trPr/>
        <w:tc>
          <w:tcPr>
            <w:tcW w:w="5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sz w:val="4"/>
                <w:szCs w:val="4"/>
              </w:rPr>
            </w:pPr>
            <w:r>
              <w:rPr>
                <w:sz w:val="4"/>
                <w:szCs w:val="4"/>
              </w:rPr>
            </w:r>
          </w:p>
        </w:tc>
      </w:tr>
      <w:tr>
        <w:trPr/>
        <w:tc>
          <w:tcPr>
            <w:tcW w:w="519"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right"/>
              <w:rPr/>
            </w:pPr>
            <w:r>
              <w:rPr/>
              <w:drawing>
                <wp:inline distT="0" distB="0" distL="0" distR="0">
                  <wp:extent cx="281940" cy="27876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281940" cy="278765"/>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842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b/>
                <w:color w:val="8ABD66"/>
                <w:sz w:val="20"/>
              </w:rPr>
            </w:pPr>
            <w:r>
              <w:rPr>
                <w:rFonts w:ascii="Arial" w:hAnsi="Arial"/>
                <w:b/>
                <w:color w:val="8ABD66"/>
                <w:sz w:val="20"/>
              </w:rPr>
              <w:t xml:space="preserve">THE BOARD RECOMMENDS A VOTE </w:t>
            </w:r>
            <w:r>
              <w:rPr>
                <w:rFonts w:ascii="Arial" w:hAnsi="Arial"/>
                <w:b/>
                <w:color w:val="8ABD66"/>
                <w:sz w:val="20"/>
                <w:u w:val="single"/>
              </w:rPr>
              <w:t>FOR</w:t>
            </w:r>
            <w:r>
              <w:rPr>
                <w:rFonts w:ascii="Arial" w:hAnsi="Arial"/>
                <w:b/>
                <w:color w:val="8ABD66"/>
                <w:sz w:val="20"/>
              </w:rPr>
              <w:t xml:space="preserve"> THE ELECTION OF ALL DIRECTOR NOMINEES.</w:t>
            </w:r>
          </w:p>
        </w:tc>
      </w:tr>
    </w:tbl>
    <w:p>
      <w:pPr>
        <w:pStyle w:val="TextBody"/>
        <w:bidi w:val="0"/>
        <w:spacing w:before="0" w:after="0"/>
        <w:jc w:val="left"/>
        <w:rPr/>
      </w:pPr>
      <w:r>
        <w:rPr/>
        <w:t> </w:t>
      </w:r>
    </w:p>
    <w:tbl>
      <w:tblPr>
        <w:tblW w:w="364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b/>
              </w:rPr>
            </w:pPr>
            <w:r>
              <w:rPr>
                <w:b/>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lef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8" w:name="toc36145_5"/>
      <w:bookmarkEnd w:id="8"/>
      <w:r>
        <w:rPr>
          <w:rFonts w:ascii="Arial" w:hAnsi="Arial"/>
          <w:b/>
          <w:color w:val="7DB655"/>
          <w:sz w:val="30"/>
        </w:rPr>
        <w:t xml:space="preserve">Director Nominees for Election </w:t>
      </w:r>
    </w:p>
    <w:p>
      <w:pPr>
        <w:pStyle w:val="TextBody"/>
        <w:bidi w:val="0"/>
        <w:spacing w:before="0" w:after="0"/>
        <w:jc w:val="left"/>
        <w:rPr/>
      </w:pPr>
      <w:r>
        <w:rPr/>
        <w:t> </w:t>
      </w:r>
    </w:p>
    <w:tbl>
      <w:tblPr>
        <w:tblW w:w="10205" w:type="dxa"/>
        <w:jc w:val="left"/>
        <w:tblInd w:w="0" w:type="dxa"/>
        <w:shd w:fill="EDEDED" w:val="clear"/>
        <w:tblLayout w:type="fixed"/>
        <w:tblCellMar>
          <w:top w:w="0" w:type="dxa"/>
          <w:left w:w="0" w:type="dxa"/>
          <w:bottom w:w="0" w:type="dxa"/>
          <w:right w:w="0" w:type="dxa"/>
        </w:tblCellMar>
      </w:tblPr>
      <w:tblGrid>
        <w:gridCol w:w="38"/>
        <w:gridCol w:w="60"/>
        <w:gridCol w:w="930"/>
        <w:gridCol w:w="60"/>
        <w:gridCol w:w="1490"/>
        <w:gridCol w:w="60"/>
        <w:gridCol w:w="1362"/>
        <w:gridCol w:w="60"/>
        <w:gridCol w:w="920"/>
        <w:gridCol w:w="60"/>
        <w:gridCol w:w="1683"/>
        <w:gridCol w:w="60"/>
        <w:gridCol w:w="860"/>
        <w:gridCol w:w="60"/>
        <w:gridCol w:w="1483"/>
        <w:gridCol w:w="60"/>
        <w:gridCol w:w="860"/>
        <w:gridCol w:w="60"/>
        <w:gridCol w:w="39"/>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4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36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2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68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48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9"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990" w:type="dxa"/>
            <w:gridSpan w:val="2"/>
            <w:tcBorders/>
            <w:shd w:fill="EDEDED" w:val="clear"/>
            <w:vAlign w:val="center"/>
          </w:tcPr>
          <w:p>
            <w:pPr>
              <w:pStyle w:val="TableContents"/>
              <w:bidi w:val="0"/>
              <w:spacing w:before="0" w:after="283"/>
              <w:jc w:val="left"/>
              <w:rPr>
                <w:sz w:val="4"/>
                <w:szCs w:val="4"/>
              </w:rPr>
            </w:pPr>
            <w:r>
              <w:rPr>
                <w:sz w:val="4"/>
                <w:szCs w:val="4"/>
              </w:rPr>
            </w:r>
          </w:p>
        </w:tc>
        <w:tc>
          <w:tcPr>
            <w:tcW w:w="1550" w:type="dxa"/>
            <w:gridSpan w:val="2"/>
            <w:tcBorders/>
            <w:shd w:fill="EDEDED" w:val="clear"/>
            <w:vAlign w:val="center"/>
          </w:tcPr>
          <w:p>
            <w:pPr>
              <w:pStyle w:val="TableContents"/>
              <w:bidi w:val="0"/>
              <w:spacing w:before="0" w:after="283"/>
              <w:jc w:val="left"/>
              <w:rPr>
                <w:sz w:val="4"/>
                <w:szCs w:val="4"/>
              </w:rPr>
            </w:pPr>
            <w:r>
              <w:rPr>
                <w:sz w:val="4"/>
                <w:szCs w:val="4"/>
              </w:rPr>
            </w:r>
          </w:p>
        </w:tc>
        <w:tc>
          <w:tcPr>
            <w:tcW w:w="1422" w:type="dxa"/>
            <w:gridSpan w:val="2"/>
            <w:tcBorders/>
            <w:shd w:fill="EDEDED" w:val="clear"/>
            <w:vAlign w:val="center"/>
          </w:tcPr>
          <w:p>
            <w:pPr>
              <w:pStyle w:val="TableContents"/>
              <w:bidi w:val="0"/>
              <w:spacing w:before="0" w:after="283"/>
              <w:jc w:val="left"/>
              <w:rPr>
                <w:sz w:val="4"/>
                <w:szCs w:val="4"/>
              </w:rPr>
            </w:pPr>
            <w:r>
              <w:rPr>
                <w:sz w:val="4"/>
                <w:szCs w:val="4"/>
              </w:rPr>
            </w:r>
          </w:p>
        </w:tc>
        <w:tc>
          <w:tcPr>
            <w:tcW w:w="980" w:type="dxa"/>
            <w:gridSpan w:val="2"/>
            <w:tcBorders/>
            <w:shd w:fill="EDEDED" w:val="clear"/>
            <w:vAlign w:val="center"/>
          </w:tcPr>
          <w:p>
            <w:pPr>
              <w:pStyle w:val="TableContents"/>
              <w:bidi w:val="0"/>
              <w:spacing w:before="0" w:after="283"/>
              <w:jc w:val="left"/>
              <w:rPr>
                <w:sz w:val="4"/>
                <w:szCs w:val="4"/>
              </w:rPr>
            </w:pPr>
            <w:r>
              <w:rPr>
                <w:sz w:val="4"/>
                <w:szCs w:val="4"/>
              </w:rPr>
            </w:r>
          </w:p>
        </w:tc>
        <w:tc>
          <w:tcPr>
            <w:tcW w:w="1743" w:type="dxa"/>
            <w:gridSpan w:val="2"/>
            <w:tcBorders/>
            <w:shd w:fill="EDEDED" w:val="clear"/>
            <w:vAlign w:val="center"/>
          </w:tcPr>
          <w:p>
            <w:pPr>
              <w:pStyle w:val="TableContents"/>
              <w:bidi w:val="0"/>
              <w:spacing w:before="0" w:after="283"/>
              <w:jc w:val="left"/>
              <w:rPr>
                <w:sz w:val="4"/>
                <w:szCs w:val="4"/>
              </w:rPr>
            </w:pPr>
            <w:r>
              <w:rPr>
                <w:sz w:val="4"/>
                <w:szCs w:val="4"/>
              </w:rPr>
            </w:r>
          </w:p>
        </w:tc>
        <w:tc>
          <w:tcPr>
            <w:tcW w:w="920" w:type="dxa"/>
            <w:gridSpan w:val="2"/>
            <w:tcBorders/>
            <w:shd w:fill="EDEDED" w:val="clear"/>
            <w:vAlign w:val="center"/>
          </w:tcPr>
          <w:p>
            <w:pPr>
              <w:pStyle w:val="TableContents"/>
              <w:bidi w:val="0"/>
              <w:spacing w:before="0" w:after="283"/>
              <w:jc w:val="left"/>
              <w:rPr>
                <w:sz w:val="4"/>
                <w:szCs w:val="4"/>
              </w:rPr>
            </w:pPr>
            <w:r>
              <w:rPr>
                <w:sz w:val="4"/>
                <w:szCs w:val="4"/>
              </w:rPr>
            </w:r>
          </w:p>
        </w:tc>
        <w:tc>
          <w:tcPr>
            <w:tcW w:w="1543" w:type="dxa"/>
            <w:gridSpan w:val="2"/>
            <w:tcBorders/>
            <w:shd w:fill="EDEDED" w:val="clear"/>
            <w:vAlign w:val="center"/>
          </w:tcPr>
          <w:p>
            <w:pPr>
              <w:pStyle w:val="TableContents"/>
              <w:bidi w:val="0"/>
              <w:spacing w:before="0" w:after="283"/>
              <w:jc w:val="left"/>
              <w:rPr>
                <w:sz w:val="4"/>
                <w:szCs w:val="4"/>
              </w:rPr>
            </w:pPr>
            <w:r>
              <w:rPr>
                <w:sz w:val="4"/>
                <w:szCs w:val="4"/>
              </w:rPr>
            </w:r>
          </w:p>
        </w:tc>
        <w:tc>
          <w:tcPr>
            <w:tcW w:w="920" w:type="dxa"/>
            <w:gridSpan w:val="2"/>
            <w:tcBorders/>
            <w:shd w:fill="EDEDED" w:val="clear"/>
            <w:vAlign w:val="center"/>
          </w:tcPr>
          <w:p>
            <w:pPr>
              <w:pStyle w:val="TableContents"/>
              <w:bidi w:val="0"/>
              <w:spacing w:before="0" w:after="283"/>
              <w:jc w:val="left"/>
              <w:rPr>
                <w:sz w:val="4"/>
                <w:szCs w:val="4"/>
              </w:rPr>
            </w:pPr>
            <w:r>
              <w:rPr>
                <w:sz w:val="4"/>
                <w:szCs w:val="4"/>
              </w:rPr>
            </w:r>
          </w:p>
        </w:tc>
        <w:tc>
          <w:tcPr>
            <w:tcW w:w="99"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30" w:type="dxa"/>
            <w:tcBorders/>
            <w:shd w:fill="EDEDED" w:val="clear"/>
            <w:vAlign w:val="center"/>
          </w:tcPr>
          <w:p>
            <w:pPr>
              <w:pStyle w:val="TableContents"/>
              <w:bidi w:val="0"/>
              <w:spacing w:before="0" w:after="283"/>
              <w:jc w:val="center"/>
              <w:rPr/>
            </w:pPr>
            <w:r>
              <w:rPr/>
              <w:drawing>
                <wp:inline distT="0" distB="0" distL="0" distR="0">
                  <wp:extent cx="558800" cy="558800"/>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558800" cy="5588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0"/>
              <w:jc w:val="left"/>
              <w:rPr>
                <w:rFonts w:ascii="Arial" w:hAnsi="Arial"/>
                <w:b/>
                <w:sz w:val="30"/>
              </w:rPr>
            </w:pPr>
            <w:r>
              <w:rPr>
                <w:rFonts w:ascii="Arial" w:hAnsi="Arial"/>
                <w:b/>
                <w:sz w:val="30"/>
              </w:rPr>
              <w:t>86%</w:t>
            </w:r>
          </w:p>
          <w:p>
            <w:pPr>
              <w:pStyle w:val="TableContents"/>
              <w:bidi w:val="0"/>
              <w:spacing w:before="0" w:after="0"/>
              <w:jc w:val="left"/>
              <w:rPr>
                <w:rFonts w:ascii="Arial" w:hAnsi="Arial"/>
                <w:b/>
                <w:sz w:val="21"/>
              </w:rPr>
            </w:pPr>
            <w:r>
              <w:rPr>
                <w:rFonts w:ascii="Arial" w:hAnsi="Arial"/>
                <w:b/>
                <w:sz w:val="21"/>
              </w:rPr>
              <w:t>Independence</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362" w:type="dxa"/>
            <w:tcBorders/>
            <w:shd w:fill="EDEDED" w:val="clear"/>
            <w:vAlign w:val="center"/>
          </w:tcPr>
          <w:p>
            <w:pPr>
              <w:pStyle w:val="TableContents"/>
              <w:bidi w:val="0"/>
              <w:spacing w:before="0" w:after="283"/>
              <w:jc w:val="left"/>
              <w:rPr>
                <w:color w:val="191919"/>
              </w:rPr>
            </w:pPr>
            <w:r>
              <w:rPr>
                <w:color w:val="191919"/>
              </w:rPr>
              <w:t xml:space="preserve">  </w:t>
            </w:r>
            <w:r>
              <w:rPr>
                <w:color w:val="191919"/>
              </w:rPr>
              <w:drawing>
                <wp:inline distT="0" distB="0" distL="0" distR="0">
                  <wp:extent cx="660400" cy="558800"/>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660400" cy="558800"/>
                          </a:xfrm>
                          <a:prstGeom prst="rect">
                            <a:avLst/>
                          </a:prstGeom>
                        </pic:spPr>
                      </pic:pic>
                    </a:graphicData>
                  </a:graphic>
                </wp:inline>
              </w:drawing>
            </w:r>
            <w:r>
              <w:rPr>
                <w:color w:val="191919"/>
              </w:rPr>
              <w:t xml:space="preserve"> </w:t>
            </w:r>
          </w:p>
        </w:tc>
        <w:tc>
          <w:tcPr>
            <w:tcW w:w="60" w:type="dxa"/>
            <w:tcBorders/>
            <w:shd w:fill="EDEDED" w:val="clear"/>
            <w:vAlign w:val="center"/>
          </w:tcPr>
          <w:p>
            <w:pPr>
              <w:pStyle w:val="TableContents"/>
              <w:bidi w:val="0"/>
              <w:spacing w:before="0" w:after="283"/>
              <w:jc w:val="left"/>
              <w:rPr/>
            </w:pPr>
            <w:r>
              <w:rPr/>
              <w:t> </w:t>
            </w:r>
          </w:p>
        </w:tc>
        <w:tc>
          <w:tcPr>
            <w:tcW w:w="920" w:type="dxa"/>
            <w:tcBorders/>
            <w:shd w:fill="EDEDED" w:val="clear"/>
            <w:vAlign w:val="center"/>
          </w:tcPr>
          <w:p>
            <w:pPr>
              <w:pStyle w:val="TableContents"/>
              <w:bidi w:val="0"/>
              <w:spacing w:before="0" w:after="0"/>
              <w:jc w:val="center"/>
              <w:rPr>
                <w:rFonts w:ascii="Arial" w:hAnsi="Arial"/>
                <w:b/>
                <w:sz w:val="30"/>
              </w:rPr>
            </w:pPr>
            <w:r>
              <w:rPr>
                <w:rFonts w:ascii="Arial" w:hAnsi="Arial"/>
                <w:b/>
                <w:sz w:val="30"/>
              </w:rPr>
              <w:t>43%</w:t>
            </w:r>
          </w:p>
          <w:p>
            <w:pPr>
              <w:pStyle w:val="TableContents"/>
              <w:bidi w:val="0"/>
              <w:spacing w:before="0" w:after="0"/>
              <w:jc w:val="center"/>
              <w:rPr>
                <w:rFonts w:ascii="Arial" w:hAnsi="Arial"/>
                <w:b/>
                <w:sz w:val="21"/>
              </w:rPr>
            </w:pPr>
            <w:r>
              <w:rPr>
                <w:rFonts w:ascii="Arial" w:hAnsi="Arial"/>
                <w:b/>
                <w:sz w:val="21"/>
              </w:rPr>
              <w:t>Diversity</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683" w:type="dxa"/>
            <w:tcBorders/>
            <w:shd w:fill="EDEDED" w:val="clear"/>
            <w:vAlign w:val="center"/>
          </w:tcPr>
          <w:p>
            <w:pPr>
              <w:pStyle w:val="TableContents"/>
              <w:bidi w:val="0"/>
              <w:spacing w:before="0" w:after="283"/>
              <w:jc w:val="right"/>
              <w:rPr/>
            </w:pPr>
            <w:r>
              <w:rPr/>
              <w:t xml:space="preserve">  </w:t>
            </w:r>
            <w:r>
              <w:rPr/>
              <w:drawing>
                <wp:inline distT="0" distB="0" distL="0" distR="0">
                  <wp:extent cx="736600" cy="685800"/>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736600" cy="6858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860" w:type="dxa"/>
            <w:tcBorders/>
            <w:shd w:fill="EDEDED" w:val="clear"/>
            <w:vAlign w:val="center"/>
          </w:tcPr>
          <w:p>
            <w:pPr>
              <w:pStyle w:val="TableContents"/>
              <w:bidi w:val="0"/>
              <w:spacing w:before="0" w:after="0"/>
              <w:jc w:val="center"/>
              <w:rPr>
                <w:rFonts w:ascii="Arial" w:hAnsi="Arial"/>
                <w:b/>
                <w:sz w:val="30"/>
              </w:rPr>
            </w:pPr>
            <w:r>
              <w:rPr>
                <w:rFonts w:ascii="Arial" w:hAnsi="Arial"/>
                <w:b/>
                <w:sz w:val="30"/>
              </w:rPr>
              <w:t>7.6</w:t>
            </w:r>
          </w:p>
          <w:p>
            <w:pPr>
              <w:pStyle w:val="TableContents"/>
              <w:bidi w:val="0"/>
              <w:spacing w:before="0" w:after="0"/>
              <w:jc w:val="center"/>
              <w:rPr>
                <w:rFonts w:ascii="Arial" w:hAnsi="Arial"/>
                <w:b/>
                <w:sz w:val="21"/>
              </w:rPr>
            </w:pPr>
            <w:r>
              <w:rPr>
                <w:rFonts w:ascii="Arial" w:hAnsi="Arial"/>
                <w:b/>
                <w:sz w:val="21"/>
              </w:rPr>
              <w:t>Average</w:t>
            </w:r>
          </w:p>
          <w:p>
            <w:pPr>
              <w:pStyle w:val="TableContents"/>
              <w:bidi w:val="0"/>
              <w:spacing w:before="0" w:after="0"/>
              <w:jc w:val="center"/>
              <w:rPr>
                <w:rFonts w:ascii="Arial" w:hAnsi="Arial"/>
                <w:b/>
                <w:sz w:val="21"/>
              </w:rPr>
            </w:pPr>
            <w:r>
              <w:rPr>
                <w:rFonts w:ascii="Arial" w:hAnsi="Arial"/>
                <w:b/>
                <w:sz w:val="21"/>
              </w:rPr>
              <w:t>Tenure</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83" w:type="dxa"/>
            <w:tcBorders/>
            <w:shd w:fill="EDEDED" w:val="clear"/>
            <w:vAlign w:val="center"/>
          </w:tcPr>
          <w:p>
            <w:pPr>
              <w:pStyle w:val="TableContents"/>
              <w:bidi w:val="0"/>
              <w:spacing w:before="0" w:after="283"/>
              <w:jc w:val="right"/>
              <w:rPr/>
            </w:pPr>
            <w:r>
              <w:rPr/>
              <w:t xml:space="preserve">   </w:t>
            </w:r>
            <w:r>
              <w:rPr/>
              <w:drawing>
                <wp:inline distT="0" distB="0" distL="0" distR="0">
                  <wp:extent cx="609600" cy="558800"/>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609600" cy="5588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860" w:type="dxa"/>
            <w:tcBorders/>
            <w:shd w:fill="EDEDED" w:val="clear"/>
            <w:vAlign w:val="center"/>
          </w:tcPr>
          <w:p>
            <w:pPr>
              <w:pStyle w:val="TableContents"/>
              <w:bidi w:val="0"/>
              <w:spacing w:before="0" w:after="0"/>
              <w:jc w:val="center"/>
              <w:rPr>
                <w:rFonts w:ascii="Arial" w:hAnsi="Arial"/>
                <w:b/>
                <w:sz w:val="30"/>
              </w:rPr>
            </w:pPr>
            <w:r>
              <w:rPr>
                <w:rFonts w:ascii="Arial" w:hAnsi="Arial"/>
                <w:b/>
                <w:sz w:val="30"/>
              </w:rPr>
              <w:t>64.9</w:t>
            </w:r>
          </w:p>
          <w:p>
            <w:pPr>
              <w:pStyle w:val="TableContents"/>
              <w:bidi w:val="0"/>
              <w:spacing w:before="0" w:after="0"/>
              <w:jc w:val="center"/>
              <w:rPr>
                <w:rFonts w:ascii="Arial" w:hAnsi="Arial"/>
                <w:b/>
                <w:sz w:val="21"/>
              </w:rPr>
            </w:pPr>
            <w:r>
              <w:rPr>
                <w:rFonts w:ascii="Arial" w:hAnsi="Arial"/>
                <w:b/>
                <w:sz w:val="21"/>
              </w:rPr>
              <w:t>Average</w:t>
            </w:r>
          </w:p>
          <w:p>
            <w:pPr>
              <w:pStyle w:val="TableContents"/>
              <w:bidi w:val="0"/>
              <w:spacing w:before="0" w:after="0"/>
              <w:jc w:val="center"/>
              <w:rPr>
                <w:rFonts w:ascii="Arial" w:hAnsi="Arial"/>
                <w:b/>
                <w:sz w:val="21"/>
              </w:rPr>
            </w:pPr>
            <w:r>
              <w:rPr>
                <w:rFonts w:ascii="Arial" w:hAnsi="Arial"/>
                <w:b/>
                <w:sz w:val="21"/>
              </w:rPr>
              <w:t>Age</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9"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30" w:type="dxa"/>
            <w:tcBorders/>
            <w:shd w:fill="EDEDED" w:val="clear"/>
            <w:vAlign w:val="center"/>
          </w:tcPr>
          <w:p>
            <w:pPr>
              <w:pStyle w:val="TableContents"/>
              <w:bidi w:val="0"/>
              <w:spacing w:before="0" w:after="283"/>
              <w:jc w:val="center"/>
              <w:rPr>
                <w:b/>
                <w:color w:val="191919"/>
                <w:sz w:val="18"/>
              </w:rPr>
            </w:pPr>
            <w:r>
              <w:rPr>
                <w:b/>
                <w:color w:val="191919"/>
                <w:sz w:val="18"/>
              </w:rPr>
              <w:t>6/7</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342" w:type="dxa"/>
            <w:gridSpan w:val="3"/>
            <w:tcBorders/>
            <w:shd w:fill="EDEDED" w:val="clear"/>
            <w:vAlign w:val="center"/>
          </w:tcPr>
          <w:p>
            <w:pPr>
              <w:pStyle w:val="TableContents"/>
              <w:bidi w:val="0"/>
              <w:spacing w:before="0" w:after="0"/>
              <w:jc w:val="center"/>
              <w:rPr>
                <w:color w:val="191919"/>
              </w:rPr>
            </w:pPr>
            <w:r>
              <w:rPr>
                <w:color w:val="191919"/>
              </w:rPr>
              <w:t> </w:t>
            </w:r>
            <w:r>
              <w:rPr>
                <w:rFonts w:ascii="Arial" w:hAnsi="Arial"/>
                <w:b/>
                <w:color w:val="191919"/>
                <w:sz w:val="18"/>
              </w:rPr>
              <w:t>3/7 gender or racially</w:t>
            </w:r>
          </w:p>
          <w:p>
            <w:pPr>
              <w:pStyle w:val="TableContents"/>
              <w:bidi w:val="0"/>
              <w:spacing w:before="0" w:after="20"/>
              <w:jc w:val="center"/>
              <w:rPr>
                <w:color w:val="191919"/>
              </w:rPr>
            </w:pPr>
            <w:r>
              <w:rPr>
                <w:color w:val="191919"/>
              </w:rPr>
              <w:t> </w:t>
            </w:r>
            <w:r>
              <w:rPr>
                <w:rFonts w:ascii="Arial" w:hAnsi="Arial"/>
                <w:b/>
                <w:color w:val="191919"/>
                <w:sz w:val="18"/>
              </w:rPr>
              <w:t>diverse</w:t>
            </w:r>
          </w:p>
        </w:tc>
        <w:tc>
          <w:tcPr>
            <w:tcW w:w="60" w:type="dxa"/>
            <w:tcBorders/>
            <w:shd w:fill="EDEDED" w:val="clear"/>
            <w:vAlign w:val="center"/>
          </w:tcPr>
          <w:p>
            <w:pPr>
              <w:pStyle w:val="TableContents"/>
              <w:bidi w:val="0"/>
              <w:spacing w:before="0" w:after="283"/>
              <w:jc w:val="left"/>
              <w:rPr/>
            </w:pPr>
            <w:r>
              <w:rPr/>
              <w:t> </w:t>
            </w:r>
          </w:p>
        </w:tc>
        <w:tc>
          <w:tcPr>
            <w:tcW w:w="2603" w:type="dxa"/>
            <w:gridSpan w:val="3"/>
            <w:tcBorders/>
            <w:shd w:fill="EDEDED" w:val="clear"/>
            <w:vAlign w:val="center"/>
          </w:tcPr>
          <w:p>
            <w:pPr>
              <w:pStyle w:val="TableContents"/>
              <w:bidi w:val="0"/>
              <w:spacing w:before="0" w:after="20"/>
              <w:jc w:val="center"/>
              <w:rPr>
                <w:color w:val="191919"/>
              </w:rPr>
            </w:pPr>
            <w:r>
              <w:rPr>
                <w:color w:val="191919"/>
              </w:rPr>
              <w:t> </w:t>
            </w:r>
            <w:r>
              <w:rPr>
                <w:rFonts w:ascii="Arial" w:hAnsi="Arial"/>
                <w:b/>
                <w:color w:val="191919"/>
                <w:sz w:val="18"/>
              </w:rPr>
              <w:t>4/7 five or more years</w:t>
            </w:r>
          </w:p>
        </w:tc>
        <w:tc>
          <w:tcPr>
            <w:tcW w:w="60" w:type="dxa"/>
            <w:tcBorders/>
            <w:shd w:fill="EDEDED" w:val="clear"/>
            <w:vAlign w:val="center"/>
          </w:tcPr>
          <w:p>
            <w:pPr>
              <w:pStyle w:val="TableContents"/>
              <w:bidi w:val="0"/>
              <w:spacing w:before="0" w:after="283"/>
              <w:jc w:val="left"/>
              <w:rPr/>
            </w:pPr>
            <w:r>
              <w:rPr/>
              <w:t> </w:t>
            </w:r>
          </w:p>
        </w:tc>
        <w:tc>
          <w:tcPr>
            <w:tcW w:w="2403" w:type="dxa"/>
            <w:gridSpan w:val="3"/>
            <w:tcBorders/>
            <w:shd w:fill="EDEDED" w:val="clear"/>
            <w:vAlign w:val="center"/>
          </w:tcPr>
          <w:p>
            <w:pPr>
              <w:pStyle w:val="TableContents"/>
              <w:bidi w:val="0"/>
              <w:spacing w:before="0" w:after="0"/>
              <w:jc w:val="left"/>
              <w:rPr>
                <w:rFonts w:ascii="Arial" w:hAnsi="Arial"/>
                <w:b/>
                <w:color w:val="191919"/>
                <w:sz w:val="18"/>
              </w:rPr>
            </w:pPr>
            <w:r>
              <w:rPr>
                <w:rFonts w:ascii="Arial" w:hAnsi="Arial"/>
                <w:b/>
                <w:color w:val="191919"/>
                <w:sz w:val="18"/>
              </w:rPr>
              <w:t>1/7 59 and under</w:t>
            </w:r>
          </w:p>
          <w:p>
            <w:pPr>
              <w:pStyle w:val="TableContents"/>
              <w:bidi w:val="0"/>
              <w:spacing w:before="0" w:after="0"/>
              <w:jc w:val="left"/>
              <w:rPr>
                <w:rFonts w:ascii="Arial" w:hAnsi="Arial"/>
                <w:b/>
                <w:color w:val="191919"/>
                <w:sz w:val="18"/>
              </w:rPr>
            </w:pPr>
            <w:r>
              <w:rPr>
                <w:rFonts w:ascii="Arial" w:hAnsi="Arial"/>
                <w:b/>
                <w:color w:val="191919"/>
                <w:sz w:val="18"/>
              </w:rPr>
              <w:t>3/7 60-64</w:t>
            </w:r>
          </w:p>
          <w:p>
            <w:pPr>
              <w:pStyle w:val="TableContents"/>
              <w:bidi w:val="0"/>
              <w:spacing w:before="0" w:after="0"/>
              <w:jc w:val="left"/>
              <w:rPr>
                <w:rFonts w:ascii="Arial" w:hAnsi="Arial"/>
                <w:b/>
                <w:color w:val="191919"/>
                <w:sz w:val="18"/>
              </w:rPr>
            </w:pPr>
            <w:r>
              <w:rPr>
                <w:rFonts w:ascii="Arial" w:hAnsi="Arial"/>
                <w:b/>
                <w:color w:val="191919"/>
                <w:sz w:val="18"/>
              </w:rPr>
              <w:t>2/7 65-69</w:t>
            </w:r>
          </w:p>
          <w:p>
            <w:pPr>
              <w:pStyle w:val="TableContents"/>
              <w:bidi w:val="0"/>
              <w:spacing w:before="0" w:after="0"/>
              <w:jc w:val="left"/>
              <w:rPr>
                <w:rFonts w:ascii="Arial" w:hAnsi="Arial"/>
                <w:b/>
                <w:color w:val="191919"/>
                <w:sz w:val="18"/>
              </w:rPr>
            </w:pPr>
            <w:r>
              <w:rPr>
                <w:rFonts w:ascii="Arial" w:hAnsi="Arial"/>
                <w:b/>
                <w:color w:val="191919"/>
                <w:sz w:val="18"/>
              </w:rPr>
              <w:t>1/7 70-73</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9"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191919"/>
          <w:sz w:val="26"/>
        </w:rPr>
      </w:pPr>
      <w:r>
        <w:rPr>
          <w:rFonts w:ascii="Arial" w:hAnsi="Arial"/>
          <w:b/>
          <w:color w:val="191919"/>
          <w:sz w:val="26"/>
        </w:rPr>
        <w:t xml:space="preserve">What We Look for in Director Candidates </w:t>
      </w:r>
    </w:p>
    <w:p>
      <w:pPr>
        <w:pStyle w:val="TextBody"/>
        <w:bidi w:val="0"/>
        <w:spacing w:before="240" w:after="0"/>
        <w:jc w:val="left"/>
        <w:rPr>
          <w:rFonts w:ascii="Arial" w:hAnsi="Arial"/>
          <w:color w:val="191919"/>
          <w:sz w:val="18"/>
        </w:rPr>
      </w:pPr>
      <w:r>
        <w:rPr>
          <w:rFonts w:ascii="Arial" w:hAnsi="Arial"/>
          <w:color w:val="191919"/>
          <w:sz w:val="18"/>
        </w:rPr>
        <w:t xml:space="preserve">Before considering director nominee candidates, the Nominating &amp; Corporate Governance Committee (“N&amp;CG Committee”) assesses whether the Board’s current size and composition are appropriate and whether any vacancies on the Board are expected due to retirement, age limits, or other factors. If additional directors are needed or vacancies are anticipated or otherwise arise, the N&amp;CG Committee utilizes a variety of methods for identifying and evaluating possible director nominees. </w:t>
      </w:r>
    </w:p>
    <w:p>
      <w:pPr>
        <w:pStyle w:val="TextBody"/>
        <w:bidi w:val="0"/>
        <w:spacing w:before="240" w:after="0"/>
        <w:jc w:val="left"/>
        <w:rPr>
          <w:rFonts w:ascii="Arial" w:hAnsi="Arial"/>
          <w:color w:val="191919"/>
          <w:sz w:val="18"/>
        </w:rPr>
      </w:pPr>
      <w:r>
        <w:rPr>
          <w:rFonts w:ascii="Arial" w:hAnsi="Arial"/>
          <w:color w:val="191919"/>
          <w:sz w:val="18"/>
        </w:rPr>
        <w:t xml:space="preserve">The Company’s Corporate Governance Guidelines establish the criteria for Board membership. As a starting point, the N&amp;CG Committee assesses a director candidate’s judgment, skill, diversity, integrity, experience with businesses and other organizations of comparable size, and the interplay of the candidate’s experience with the experience of current Board members. In evaluating these characteristics, and including diversity, the Board considers individual qualities and attributes, such as educational background, professional skills, business experience, and cultural viewpoint, as well as more categorical diversity metrics, such as race and ethnicity, gender, and age. The Board considers whether this evaluation process is effective in promoting diversity during its annual self-evaluation process. </w:t>
      </w:r>
    </w:p>
    <w:p>
      <w:pPr>
        <w:pStyle w:val="TextBody"/>
        <w:bidi w:val="0"/>
        <w:spacing w:before="360" w:after="0"/>
        <w:jc w:val="left"/>
        <w:rPr>
          <w:rFonts w:ascii="Arial" w:hAnsi="Arial"/>
          <w:b/>
          <w:color w:val="191919"/>
          <w:sz w:val="26"/>
        </w:rPr>
      </w:pPr>
      <w:r>
        <w:rPr>
          <w:rFonts w:ascii="Arial" w:hAnsi="Arial"/>
          <w:b/>
          <w:color w:val="191919"/>
          <w:sz w:val="26"/>
        </w:rPr>
        <w:t xml:space="preserve">How We Identify Director Candidates </w:t>
      </w:r>
    </w:p>
    <w:p>
      <w:pPr>
        <w:pStyle w:val="TextBody"/>
        <w:bidi w:val="0"/>
        <w:spacing w:before="240" w:after="0"/>
        <w:jc w:val="left"/>
        <w:rPr>
          <w:rFonts w:ascii="Arial" w:hAnsi="Arial"/>
          <w:color w:val="191919"/>
          <w:sz w:val="18"/>
        </w:rPr>
      </w:pPr>
      <w:r>
        <w:rPr>
          <w:rFonts w:ascii="Arial" w:hAnsi="Arial"/>
          <w:color w:val="191919"/>
          <w:sz w:val="18"/>
        </w:rPr>
        <w:t xml:space="preserve">The Board considers various potential director candidates who come to the Board’s attention through professional search firms, current Board members, shareholders, or other sources. A shareholder who wants to recommend a candidate for election to the Board should submit a written notice, as required by the Company’s Bylaws, including the candidate’s name and qualifications to our Corporate Secretary, who will refer the recommendation to the N&amp;CG Committee. The N&amp;CG Committee facilitates the director candidate evaluation process and may require any shareholder-recommended candidate to furnish such other information as may reasonably be required to determine the candidate’s eligibility or to assist in evaluating the candidate. The N&amp;CG Committee also may require the submission of a fully completed and signed questionnaire for directors and executive officers on the Company’s standard form and a written consent by the shareholder-recommended candidate to serve as a director, if so elected. </w:t>
      </w:r>
    </w:p>
    <w:p>
      <w:pPr>
        <w:pStyle w:val="TextBody"/>
        <w:bidi w:val="0"/>
        <w:spacing w:before="240" w:after="0"/>
        <w:jc w:val="left"/>
        <w:rPr>
          <w:rFonts w:ascii="Arial" w:hAnsi="Arial"/>
          <w:color w:val="191919"/>
          <w:sz w:val="18"/>
        </w:rPr>
      </w:pPr>
      <w:r>
        <w:rPr>
          <w:rFonts w:ascii="Arial" w:hAnsi="Arial"/>
          <w:color w:val="191919"/>
          <w:sz w:val="18"/>
        </w:rPr>
        <w:t xml:space="preserve">All identified candidates, including shareholder-recommended candidates, are evaluated by the N&amp;CG Committee and the full Board using generally the same methods and criteria, although those methods and criteria may vary from time to time depending on the N&amp;CG Committee’s and the full Board’s assessment of the Company’s needs and current situation.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righ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Director Nominee Skill Sets </w:t>
      </w:r>
    </w:p>
    <w:p>
      <w:pPr>
        <w:pStyle w:val="TextBody"/>
        <w:bidi w:val="0"/>
        <w:spacing w:before="0" w:after="0"/>
        <w:jc w:val="left"/>
        <w:rPr/>
      </w:pPr>
      <w:r>
        <w:rPr/>
        <w:t> </w:t>
      </w:r>
    </w:p>
    <w:tbl>
      <w:tblPr>
        <w:tblW w:w="7264" w:type="dxa"/>
        <w:jc w:val="left"/>
        <w:tblInd w:w="0" w:type="dxa"/>
        <w:tblLayout w:type="fixed"/>
        <w:tblCellMar>
          <w:top w:w="0" w:type="dxa"/>
          <w:left w:w="0" w:type="dxa"/>
          <w:bottom w:w="0" w:type="dxa"/>
          <w:right w:w="0" w:type="dxa"/>
        </w:tblCellMar>
      </w:tblPr>
      <w:tblGrid>
        <w:gridCol w:w="755"/>
        <w:gridCol w:w="60"/>
        <w:gridCol w:w="2780"/>
        <w:gridCol w:w="60"/>
        <w:gridCol w:w="462"/>
        <w:gridCol w:w="60"/>
        <w:gridCol w:w="462"/>
        <w:gridCol w:w="60"/>
        <w:gridCol w:w="462"/>
        <w:gridCol w:w="60"/>
        <w:gridCol w:w="462"/>
        <w:gridCol w:w="60"/>
        <w:gridCol w:w="462"/>
        <w:gridCol w:w="60"/>
        <w:gridCol w:w="462"/>
        <w:gridCol w:w="60"/>
        <w:gridCol w:w="477"/>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7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2780" w:type="dxa"/>
            <w:tcBorders>
              <w:bottom w:val="single" w:sz="5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62"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314960"/>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16205" cy="31496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62"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185420"/>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16205" cy="1854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62"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44005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16205" cy="44005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62"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29654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16205" cy="29654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62"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45148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16205" cy="45148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62"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558800"/>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16205" cy="55880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477" w:type="dxa"/>
            <w:tcBorders>
              <w:bottom w:val="single" w:sz="56" w:space="0" w:color="7DB655"/>
            </w:tcBorders>
            <w:tcMar>
              <w:bottom w:w="28" w:type="dxa"/>
            </w:tcMar>
            <w:vAlign w:val="center"/>
          </w:tcPr>
          <w:p>
            <w:pPr>
              <w:pStyle w:val="TableContents"/>
              <w:bidi w:val="0"/>
              <w:jc w:val="center"/>
              <w:rPr/>
            </w:pPr>
            <w:r>
              <w:rPr/>
              <w:drawing>
                <wp:inline distT="0" distB="0" distL="0" distR="0">
                  <wp:extent cx="116205" cy="70167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16205" cy="70167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3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drawing>
                <wp:inline distT="0" distB="0" distL="0" distR="0">
                  <wp:extent cx="187325" cy="237490"/>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87325" cy="23749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Executive Leadership</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center"/>
              <w:rPr/>
            </w:pPr>
            <w:r>
              <w:rPr/>
              <w:drawing>
                <wp:inline distT="0" distB="0" distL="0" distR="0">
                  <wp:extent cx="229870" cy="229870"/>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229870" cy="229870"/>
                          </a:xfrm>
                          <a:prstGeom prst="rect">
                            <a:avLst/>
                          </a:prstGeom>
                        </pic:spPr>
                      </pic:pic>
                    </a:graphicData>
                  </a:graphic>
                </wp:inline>
              </w:drawing>
            </w:r>
            <w:r>
              <w:rPr/>
              <w:t xml:space="preserve"> </w:t>
            </w:r>
          </w:p>
        </w:tc>
      </w:tr>
      <w:tr>
        <w:trPr/>
        <w:tc>
          <w:tcPr>
            <w:tcW w:w="755" w:type="dxa"/>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3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55" w:type="dxa"/>
            <w:tcBorders/>
            <w:shd w:fill="EDEDED" w:val="clear"/>
            <w:vAlign w:val="center"/>
          </w:tcPr>
          <w:p>
            <w:pPr>
              <w:pStyle w:val="TableContents"/>
              <w:bidi w:val="0"/>
              <w:spacing w:before="0" w:after="0"/>
              <w:jc w:val="left"/>
              <w:rPr/>
            </w:pPr>
            <w:r>
              <w:rPr/>
              <w:drawing>
                <wp:inline distT="0" distB="0" distL="0" distR="0">
                  <wp:extent cx="275590" cy="275590"/>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275590" cy="27559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278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Finance/Accounting</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255270" cy="255270"/>
                          </a:xfrm>
                          <a:prstGeom prst="rect">
                            <a:avLst/>
                          </a:prstGeom>
                        </pic:spPr>
                      </pic:pic>
                    </a:graphicData>
                  </a:graphic>
                </wp:inline>
              </w:drawing>
            </w:r>
            <w:r>
              <w:rPr/>
              <w:t xml:space="preserve">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3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drawing>
                <wp:inline distT="0" distB="0" distL="0" distR="0">
                  <wp:extent cx="237490" cy="24066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237490" cy="2406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Industry/End Market Knowledge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jc w:val="center"/>
              <w:rPr/>
            </w:pPr>
            <w:r>
              <w:rPr/>
              <w:drawing>
                <wp:inline distT="0" distB="0" distL="0" distR="0">
                  <wp:extent cx="121285" cy="83820"/>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3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55" w:type="dxa"/>
            <w:tcBorders/>
            <w:shd w:fill="EDEDED" w:val="clear"/>
            <w:vAlign w:val="center"/>
          </w:tcPr>
          <w:p>
            <w:pPr>
              <w:pStyle w:val="TableContents"/>
              <w:bidi w:val="0"/>
              <w:spacing w:before="0" w:after="0"/>
              <w:jc w:val="left"/>
              <w:rPr/>
            </w:pPr>
            <w:r>
              <w:rPr/>
              <w:drawing>
                <wp:inline distT="0" distB="0" distL="0" distR="0">
                  <wp:extent cx="254635" cy="254000"/>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254635" cy="25400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278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Corporate Development &amp; Strategy</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255270" cy="255270"/>
                          </a:xfrm>
                          <a:prstGeom prst="rect">
                            <a:avLst/>
                          </a:prstGeom>
                        </pic:spPr>
                      </pic:pic>
                    </a:graphicData>
                  </a:graphic>
                </wp:inline>
              </w:drawing>
            </w:r>
            <w:r>
              <w:rPr/>
              <w:t xml:space="preserve">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3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drawing>
                <wp:inline distT="0" distB="0" distL="0" distR="0">
                  <wp:extent cx="229870" cy="23304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229870" cy="2330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Risk Management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jc w:val="center"/>
              <w:rPr/>
            </w:pPr>
            <w:r>
              <w:rPr/>
              <w:drawing>
                <wp:inline distT="0" distB="0" distL="0" distR="0">
                  <wp:extent cx="121285" cy="83820"/>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3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55" w:type="dxa"/>
            <w:tcBorders/>
            <w:shd w:fill="EDEDED" w:val="clear"/>
            <w:vAlign w:val="center"/>
          </w:tcPr>
          <w:p>
            <w:pPr>
              <w:pStyle w:val="TableContents"/>
              <w:bidi w:val="0"/>
              <w:spacing w:before="0" w:after="0"/>
              <w:jc w:val="left"/>
              <w:rPr/>
            </w:pPr>
            <w:r>
              <w:rPr/>
              <w:drawing>
                <wp:inline distT="0" distB="0" distL="0" distR="0">
                  <wp:extent cx="273050" cy="242570"/>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273050" cy="24257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278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Cybersecurity and Information</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jc w:val="center"/>
              <w:rPr/>
            </w:pPr>
            <w:r>
              <w:rPr/>
              <w:drawing>
                <wp:inline distT="0" distB="0" distL="0" distR="0">
                  <wp:extent cx="146685" cy="109220"/>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3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drawing>
                <wp:inline distT="0" distB="0" distL="0" distR="0">
                  <wp:extent cx="236855" cy="23685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236855" cy="2368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Global Business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jc w:val="center"/>
              <w:rPr/>
            </w:pPr>
            <w:r>
              <w:rPr/>
              <w:drawing>
                <wp:inline distT="0" distB="0" distL="0" distR="0">
                  <wp:extent cx="121285" cy="83820"/>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3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55" w:type="dxa"/>
            <w:tcBorders/>
            <w:shd w:fill="EDEDED" w:val="clear"/>
            <w:vAlign w:val="center"/>
          </w:tcPr>
          <w:p>
            <w:pPr>
              <w:pStyle w:val="TableContents"/>
              <w:bidi w:val="0"/>
              <w:spacing w:before="0" w:after="0"/>
              <w:jc w:val="left"/>
              <w:rPr/>
            </w:pPr>
            <w:r>
              <w:rPr/>
              <w:drawing>
                <wp:inline distT="0" distB="0" distL="0" distR="0">
                  <wp:extent cx="268605" cy="23558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268605" cy="235585"/>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278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Sales &amp; Marketing</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spacing w:before="0" w:after="283"/>
              <w:jc w:val="center"/>
              <w:rPr/>
            </w:pPr>
            <w:r>
              <w:rPr/>
              <w:drawing>
                <wp:inline distT="0" distB="0" distL="0" distR="0">
                  <wp:extent cx="255270" cy="255270"/>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shd w:fill="EDEDED" w:val="clear"/>
            <w:vAlign w:val="center"/>
          </w:tcPr>
          <w:p>
            <w:pPr>
              <w:pStyle w:val="TableContents"/>
              <w:bidi w:val="0"/>
              <w:spacing w:before="0" w:after="283"/>
              <w:jc w:val="left"/>
              <w:rPr/>
            </w:pPr>
            <w:r>
              <w:rPr/>
              <w:t> </w:t>
            </w:r>
          </w:p>
        </w:tc>
        <w:tc>
          <w:tcPr>
            <w:tcW w:w="462" w:type="dxa"/>
            <w:tcBorders/>
            <w:shd w:fill="EDEDED" w:val="clear"/>
            <w:vAlign w:val="center"/>
          </w:tcPr>
          <w:p>
            <w:pPr>
              <w:pStyle w:val="TableContents"/>
              <w:bidi w:val="0"/>
              <w:jc w:val="center"/>
              <w:rPr/>
            </w:pPr>
            <w:r>
              <w:rPr/>
              <w:drawing>
                <wp:inline distT="0" distB="0" distL="0" distR="0">
                  <wp:extent cx="146685" cy="109220"/>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jc w:val="center"/>
              <w:rPr/>
            </w:pPr>
            <w:r>
              <w:rPr/>
              <w:drawing>
                <wp:inline distT="0" distB="0" distL="0" distR="0">
                  <wp:extent cx="146685" cy="109220"/>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46685" cy="10922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22" w:type="dxa"/>
            <w:gridSpan w:val="2"/>
            <w:tcBorders/>
            <w:vAlign w:val="center"/>
          </w:tcPr>
          <w:p>
            <w:pPr>
              <w:pStyle w:val="TableContents"/>
              <w:bidi w:val="0"/>
              <w:spacing w:before="0" w:after="283"/>
              <w:jc w:val="left"/>
              <w:rPr>
                <w:sz w:val="4"/>
                <w:szCs w:val="4"/>
              </w:rPr>
            </w:pPr>
            <w:r>
              <w:rPr>
                <w:sz w:val="4"/>
                <w:szCs w:val="4"/>
              </w:rPr>
            </w:r>
          </w:p>
        </w:tc>
        <w:tc>
          <w:tcPr>
            <w:tcW w:w="53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left"/>
              <w:rPr/>
            </w:pPr>
            <w:r>
              <w:rPr/>
              <w:drawing>
                <wp:inline distT="0" distB="0" distL="0" distR="0">
                  <wp:extent cx="241300" cy="2381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241300" cy="2381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Corporate Governance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jc w:val="center"/>
              <w:rPr/>
            </w:pPr>
            <w:r>
              <w:rPr/>
              <w:drawing>
                <wp:inline distT="0" distB="0" distL="0" distR="0">
                  <wp:extent cx="121285" cy="83820"/>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center"/>
              <w:rPr/>
            </w:pPr>
            <w:r>
              <w:rPr/>
              <w:drawing>
                <wp:inline distT="0" distB="0" distL="0" distR="0">
                  <wp:extent cx="229870" cy="229870"/>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jc w:val="center"/>
              <w:rPr/>
            </w:pPr>
            <w:r>
              <w:rPr/>
              <w:drawing>
                <wp:inline distT="0" distB="0" distL="0" distR="0">
                  <wp:extent cx="121285" cy="83820"/>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21285" cy="8382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755" w:type="dxa"/>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22" w:type="dxa"/>
            <w:gridSpan w:val="2"/>
            <w:tcBorders/>
            <w:shd w:fill="EDEDED" w:val="clear"/>
            <w:vAlign w:val="center"/>
          </w:tcPr>
          <w:p>
            <w:pPr>
              <w:pStyle w:val="TableContents"/>
              <w:bidi w:val="0"/>
              <w:spacing w:before="0" w:after="283"/>
              <w:jc w:val="left"/>
              <w:rPr>
                <w:sz w:val="4"/>
                <w:szCs w:val="4"/>
              </w:rPr>
            </w:pPr>
            <w:r>
              <w:rPr>
                <w:sz w:val="4"/>
                <w:szCs w:val="4"/>
              </w:rPr>
            </w:r>
          </w:p>
        </w:tc>
        <w:tc>
          <w:tcPr>
            <w:tcW w:w="53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7DB655"/>
            </w:tcBorders>
            <w:shd w:fill="EDEDED" w:val="clear"/>
            <w:tcMar>
              <w:bottom w:w="160" w:type="dxa"/>
            </w:tcMar>
            <w:vAlign w:val="center"/>
          </w:tcPr>
          <w:p>
            <w:pPr>
              <w:pStyle w:val="TableContents"/>
              <w:bidi w:val="0"/>
              <w:spacing w:before="0" w:after="0"/>
              <w:jc w:val="left"/>
              <w:rPr/>
            </w:pPr>
            <w:r>
              <w:rPr/>
              <w:drawing>
                <wp:inline distT="0" distB="0" distL="0" distR="0">
                  <wp:extent cx="263525" cy="20764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263525" cy="207645"/>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2780" w:type="dxa"/>
            <w:tcBorders>
              <w:bottom w:val="single" w:sz="6" w:space="0" w:color="7DB655"/>
            </w:tcBorders>
            <w:shd w:fill="EDEDED" w:val="clear"/>
            <w:tcMar>
              <w:bottom w:w="16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Human Capital Management</w:t>
            </w:r>
          </w:p>
          <w:p>
            <w:pPr>
              <w:pStyle w:val="TableContents"/>
              <w:bidi w:val="0"/>
              <w:spacing w:before="0" w:after="20"/>
              <w:jc w:val="left"/>
              <w:rPr/>
            </w:pPr>
            <w:r>
              <w:rPr/>
              <w:t>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62"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62"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62"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62"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62"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62"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255270" cy="255270"/>
                          </a:xfrm>
                          <a:prstGeom prst="rect">
                            <a:avLst/>
                          </a:prstGeom>
                        </pic:spPr>
                      </pic:pic>
                    </a:graphicData>
                  </a:graphic>
                </wp:inline>
              </w:drawing>
            </w:r>
            <w:r>
              <w:rPr/>
              <w:t xml:space="preserve"> </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477" w:type="dxa"/>
            <w:tcBorders>
              <w:bottom w:val="single" w:sz="6" w:space="0" w:color="7DB655"/>
            </w:tcBorders>
            <w:shd w:fill="EDEDED" w:val="clear"/>
            <w:tcMar>
              <w:bottom w:w="160" w:type="dxa"/>
            </w:tcMar>
            <w:vAlign w:val="center"/>
          </w:tcPr>
          <w:p>
            <w:pPr>
              <w:pStyle w:val="TableContents"/>
              <w:bidi w:val="0"/>
              <w:spacing w:before="0" w:after="283"/>
              <w:jc w:val="center"/>
              <w:rPr/>
            </w:pPr>
            <w:r>
              <w:rPr/>
              <w:drawing>
                <wp:inline distT="0" distB="0" distL="0" distR="0">
                  <wp:extent cx="255270" cy="255270"/>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255270" cy="255270"/>
                          </a:xfrm>
                          <a:prstGeom prst="rect">
                            <a:avLst/>
                          </a:prstGeom>
                        </pic:spPr>
                      </pic:pic>
                    </a:graphicData>
                  </a:graphic>
                </wp:inline>
              </w:drawing>
            </w:r>
            <w:r>
              <w:rPr/>
              <w:t xml:space="preserve"> </w:t>
            </w:r>
          </w:p>
        </w:tc>
      </w:tr>
      <w:tr>
        <w:trPr/>
        <w:tc>
          <w:tcPr>
            <w:tcW w:w="755" w:type="dxa"/>
            <w:tcBorders/>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21285" cy="83820"/>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21285" cy="838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449" w:type="dxa"/>
            <w:gridSpan w:val="15"/>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 xml:space="preserve">= </w:t>
            </w:r>
            <w:r>
              <w:rPr>
                <w:rFonts w:ascii="Arial" w:hAnsi="Arial"/>
                <w:i/>
                <w:color w:val="191919"/>
                <w:sz w:val="17"/>
              </w:rPr>
              <w:t>Experience</w:t>
            </w:r>
            <w:r>
              <w:rPr>
                <w:rFonts w:ascii="Arial" w:hAnsi="Arial"/>
                <w:color w:val="191919"/>
                <w:sz w:val="17"/>
              </w:rPr>
              <w:t> </w:t>
            </w:r>
          </w:p>
        </w:tc>
      </w:tr>
      <w:tr>
        <w:trPr/>
        <w:tc>
          <w:tcPr>
            <w:tcW w:w="755"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29870" cy="229870"/>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229870" cy="22987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449" w:type="dxa"/>
            <w:gridSpan w:val="15"/>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 xml:space="preserve">= </w:t>
            </w:r>
            <w:r>
              <w:rPr>
                <w:rFonts w:ascii="Arial" w:hAnsi="Arial"/>
                <w:i/>
                <w:color w:val="191919"/>
                <w:sz w:val="17"/>
              </w:rPr>
              <w:t>Expertise</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lef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Director Nominee Biographies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22"/>
        <w:gridCol w:w="120"/>
        <w:gridCol w:w="23"/>
        <w:gridCol w:w="60"/>
        <w:gridCol w:w="5780"/>
      </w:tblGrid>
      <w:tr>
        <w:trPr/>
        <w:tc>
          <w:tcPr>
            <w:tcW w:w="42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0" w:type="dxa"/>
            <w:tcBorders/>
            <w:vAlign w:val="center"/>
          </w:tcPr>
          <w:p>
            <w:pPr>
              <w:pStyle w:val="TableContents"/>
              <w:bidi w:val="0"/>
              <w:spacing w:before="0" w:after="283"/>
              <w:jc w:val="left"/>
              <w:rPr>
                <w:sz w:val="4"/>
                <w:szCs w:val="4"/>
              </w:rPr>
            </w:pPr>
            <w:r>
              <w:rPr>
                <w:sz w:val="4"/>
                <w:szCs w:val="4"/>
              </w:rPr>
            </w:r>
          </w:p>
        </w:tc>
      </w:tr>
      <w:tr>
        <w:trPr/>
        <w:tc>
          <w:tcPr>
            <w:tcW w:w="4222"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00" cy="2686050"/>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2667000"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80"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Joseph B. Armes</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Chairman, CEO and President, CSW Industrials</w:t>
            </w:r>
          </w:p>
          <w:p>
            <w:pPr>
              <w:pStyle w:val="TableContents"/>
              <w:bidi w:val="0"/>
              <w:spacing w:before="0" w:after="0"/>
              <w:jc w:val="left"/>
              <w:rPr/>
            </w:pPr>
            <w:r>
              <w:rPr/>
              <w:t> </w:t>
            </w:r>
          </w:p>
          <w:p>
            <w:pPr>
              <w:pStyle w:val="TableContents"/>
              <w:bidi w:val="0"/>
              <w:spacing w:lineRule="atLeast" w:line="23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60" w:before="0" w:after="0"/>
              <w:jc w:val="left"/>
              <w:rPr>
                <w:rFonts w:ascii="Arial" w:hAnsi="Arial"/>
                <w:color w:val="191919"/>
                <w:sz w:val="18"/>
              </w:rPr>
            </w:pPr>
            <w:r>
              <w:rPr>
                <w:rFonts w:ascii="Arial" w:hAnsi="Arial"/>
                <w:color w:val="191919"/>
                <w:sz w:val="18"/>
              </w:rPr>
              <w:t>Mr. Armes has served as Chief Executive Officer and Chairman of the Board of the Company since September 2015, and as President of the Company since February 2018. Prior to the Company’s spin-off in September 2015 from Capital Southwest Corporation, Mr. Armes served as the Chief Executive Officer and President of Capital Southwest Corporation from June 2013 to September 2015, and as Chairman of the Board from January 2014 through August 2017.</w:t>
            </w:r>
          </w:p>
          <w:p>
            <w:pPr>
              <w:pStyle w:val="TableContents"/>
              <w:bidi w:val="0"/>
              <w:spacing w:before="0" w:after="0"/>
              <w:jc w:val="left"/>
              <w:rPr/>
            </w:pPr>
            <w:r>
              <w:rPr/>
              <w:t> </w:t>
            </w:r>
          </w:p>
          <w:p>
            <w:pPr>
              <w:pStyle w:val="TableContents"/>
              <w:bidi w:val="0"/>
              <w:spacing w:lineRule="atLeast" w:line="230"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60" w:before="0" w:after="0"/>
              <w:jc w:val="left"/>
              <w:rPr>
                <w:rFonts w:ascii="Arial" w:hAnsi="Arial"/>
                <w:color w:val="191919"/>
                <w:sz w:val="18"/>
              </w:rPr>
            </w:pPr>
            <w:r>
              <w:rPr>
                <w:rFonts w:ascii="Arial" w:hAnsi="Arial"/>
                <w:color w:val="191919"/>
                <w:sz w:val="18"/>
              </w:rPr>
              <w:t>We believe Mr. Armes is well qualified to serve as a director due to his position as the Company’s Chief Executive Officer, which provides the Board with knowledge of the Company’s day-to-day operations. Mr. Armes also has broad executive and board leadership experience, finance and accounting expertise, compliance and governance expertise, and corporate development experience, all of which support the Company’s strategic growth plans.</w:t>
            </w:r>
          </w:p>
          <w:p>
            <w:pPr>
              <w:pStyle w:val="TableContents"/>
              <w:bidi w:val="0"/>
              <w:spacing w:before="0" w:after="0"/>
              <w:jc w:val="left"/>
              <w:rPr/>
            </w:pPr>
            <w:r>
              <w:rPr/>
              <w:t> </w:t>
            </w:r>
          </w:p>
          <w:p>
            <w:pPr>
              <w:pStyle w:val="TableContents"/>
              <w:bidi w:val="0"/>
              <w:spacing w:lineRule="atLeast" w:line="230" w:before="0" w:after="0"/>
              <w:jc w:val="left"/>
              <w:rPr>
                <w:rFonts w:ascii="Arial" w:hAnsi="Arial"/>
                <w:b/>
                <w:color w:val="191919"/>
                <w:sz w:val="21"/>
              </w:rPr>
            </w:pPr>
            <w:r>
              <w:rPr>
                <w:rFonts w:ascii="Arial" w:hAnsi="Arial"/>
                <w:b/>
                <w:color w:val="191919"/>
                <w:sz w:val="21"/>
              </w:rPr>
              <w:t>Other Public Company Directorships</w:t>
            </w:r>
          </w:p>
          <w:p>
            <w:pPr>
              <w:pStyle w:val="TableContents"/>
              <w:bidi w:val="0"/>
              <w:spacing w:lineRule="atLeast" w:line="240" w:before="0" w:after="0"/>
              <w:jc w:val="left"/>
              <w:rPr>
                <w:color w:val="228AB4"/>
              </w:rPr>
            </w:pPr>
            <w:r>
              <w:rPr>
                <w:color w:val="228AB4"/>
              </w:rPr>
              <w:t>•</w:t>
            </w:r>
          </w:p>
          <w:p>
            <w:pPr>
              <w:pStyle w:val="TableContents"/>
              <w:bidi w:val="0"/>
              <w:spacing w:lineRule="atLeast" w:line="240" w:before="0" w:after="0"/>
              <w:jc w:val="left"/>
              <w:rPr>
                <w:rFonts w:ascii="Arial" w:hAnsi="Arial"/>
                <w:color w:val="191919"/>
                <w:sz w:val="18"/>
              </w:rPr>
            </w:pPr>
            <w:r>
              <w:rPr>
                <w:rFonts w:ascii="Arial" w:hAnsi="Arial"/>
                <w:color w:val="191919"/>
                <w:sz w:val="18"/>
              </w:rPr>
              <w:t>Switchback Energy Acquisition Corp. (2019-2021)</w:t>
            </w:r>
          </w:p>
          <w:p>
            <w:pPr>
              <w:pStyle w:val="TableContents"/>
              <w:bidi w:val="0"/>
              <w:spacing w:lineRule="atLeast" w:line="240" w:before="0" w:after="0"/>
              <w:jc w:val="left"/>
              <w:rPr>
                <w:color w:val="228AB4"/>
              </w:rPr>
            </w:pPr>
            <w:r>
              <w:rPr>
                <w:color w:val="228AB4"/>
              </w:rPr>
              <w:t>•</w:t>
            </w:r>
          </w:p>
          <w:p>
            <w:pPr>
              <w:pStyle w:val="TableContents"/>
              <w:bidi w:val="0"/>
              <w:spacing w:lineRule="atLeast" w:line="240" w:before="0" w:after="0"/>
              <w:jc w:val="left"/>
              <w:rPr>
                <w:rFonts w:ascii="Arial" w:hAnsi="Arial"/>
                <w:color w:val="191919"/>
                <w:sz w:val="18"/>
              </w:rPr>
            </w:pPr>
            <w:r>
              <w:rPr>
                <w:rFonts w:ascii="Arial" w:hAnsi="Arial"/>
                <w:color w:val="191919"/>
                <w:sz w:val="18"/>
              </w:rPr>
              <w:t>RSP Permian, Inc. (2013-2018)</w:t>
            </w:r>
          </w:p>
          <w:p>
            <w:pPr>
              <w:pStyle w:val="TableContents"/>
              <w:bidi w:val="0"/>
              <w:spacing w:lineRule="atLeast" w:line="240" w:before="0" w:after="0"/>
              <w:jc w:val="left"/>
              <w:rPr>
                <w:color w:val="228AB4"/>
              </w:rPr>
            </w:pPr>
            <w:r>
              <w:rPr>
                <w:color w:val="228AB4"/>
              </w:rPr>
              <w:t>•</w:t>
            </w:r>
          </w:p>
          <w:p>
            <w:pPr>
              <w:pStyle w:val="TableContents"/>
              <w:bidi w:val="0"/>
              <w:spacing w:lineRule="atLeast" w:line="240" w:before="0" w:after="0"/>
              <w:jc w:val="left"/>
              <w:rPr>
                <w:rFonts w:ascii="Arial" w:hAnsi="Arial"/>
                <w:color w:val="191919"/>
                <w:sz w:val="18"/>
              </w:rPr>
            </w:pPr>
            <w:r>
              <w:rPr>
                <w:rFonts w:ascii="Arial" w:hAnsi="Arial"/>
                <w:color w:val="191919"/>
                <w:sz w:val="18"/>
              </w:rPr>
              <w:t>Capital Southwest Corporation (2013-2017)</w:t>
            </w:r>
          </w:p>
        </w:tc>
      </w:tr>
      <w:tr>
        <w:trPr/>
        <w:tc>
          <w:tcPr>
            <w:tcW w:w="4222"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5"/>
              </w:rPr>
            </w:pPr>
            <w:r>
              <w:rPr>
                <w:rFonts w:ascii="Arial" w:hAnsi="Arial"/>
                <w:b/>
                <w:color w:val="0A7DAC"/>
                <w:sz w:val="25"/>
              </w:rPr>
              <w:t xml:space="preserve">Age: </w:t>
            </w:r>
            <w:r>
              <w:rPr>
                <w:rFonts w:ascii="Arial" w:hAnsi="Arial"/>
                <w:color w:val="191919"/>
                <w:sz w:val="25"/>
              </w:rPr>
              <w:t>64</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Director Since:</w:t>
            </w:r>
          </w:p>
          <w:p>
            <w:pPr>
              <w:pStyle w:val="TableContents"/>
              <w:bidi w:val="0"/>
              <w:spacing w:before="0" w:after="0"/>
              <w:jc w:val="left"/>
              <w:rPr>
                <w:rFonts w:ascii="Arial" w:hAnsi="Arial"/>
                <w:color w:val="191919"/>
                <w:sz w:val="25"/>
              </w:rPr>
            </w:pPr>
            <w:r>
              <w:rPr>
                <w:rFonts w:ascii="Arial" w:hAnsi="Arial"/>
                <w:color w:val="191919"/>
                <w:sz w:val="25"/>
              </w:rPr>
              <w:t>September 2015</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CSW Board Committee(s):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None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80"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4287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7810500" cy="1428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8"/>
        <w:gridCol w:w="120"/>
        <w:gridCol w:w="23"/>
        <w:gridCol w:w="60"/>
        <w:gridCol w:w="5784"/>
      </w:tblGrid>
      <w:tr>
        <w:trPr/>
        <w:tc>
          <w:tcPr>
            <w:tcW w:w="42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4" w:type="dxa"/>
            <w:tcBorders/>
            <w:vAlign w:val="center"/>
          </w:tcPr>
          <w:p>
            <w:pPr>
              <w:pStyle w:val="TableContents"/>
              <w:bidi w:val="0"/>
              <w:spacing w:before="0" w:after="283"/>
              <w:jc w:val="left"/>
              <w:rPr>
                <w:sz w:val="4"/>
                <w:szCs w:val="4"/>
              </w:rPr>
            </w:pPr>
            <w:r>
              <w:rPr>
                <w:sz w:val="4"/>
                <w:szCs w:val="4"/>
              </w:rPr>
            </w:r>
          </w:p>
        </w:tc>
      </w:tr>
      <w:tr>
        <w:trPr/>
        <w:tc>
          <w:tcPr>
            <w:tcW w:w="4218"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00" cy="2686050"/>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2667000"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84"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Darron K. Ash</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CEO, Sammons Enterprises, Inc.</w:t>
            </w:r>
          </w:p>
          <w:p>
            <w:pPr>
              <w:pStyle w:val="TableContents"/>
              <w:bidi w:val="0"/>
              <w:spacing w:before="0" w:after="0"/>
              <w:jc w:val="left"/>
              <w:rPr/>
            </w:pPr>
            <w:r>
              <w:rPr/>
              <w:t> </w:t>
            </w:r>
          </w:p>
          <w:p>
            <w:pPr>
              <w:pStyle w:val="TableContents"/>
              <w:bidi w:val="0"/>
              <w:spacing w:lineRule="atLeast" w:line="23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70" w:before="0" w:after="0"/>
              <w:jc w:val="left"/>
              <w:rPr>
                <w:rFonts w:ascii="Arial" w:hAnsi="Arial"/>
                <w:color w:val="191919"/>
                <w:sz w:val="18"/>
              </w:rPr>
            </w:pPr>
            <w:r>
              <w:rPr>
                <w:rFonts w:ascii="Arial" w:hAnsi="Arial"/>
                <w:color w:val="191919"/>
                <w:sz w:val="18"/>
              </w:rPr>
              <w:t>Mr. Ash has served as Chief Executive Officer of Sammons Enterprises, Inc., a diverse global holding company, since January 2023. Mr. Ash joined Sammons Enterprises in June 2006 as its Chief Financial Officer, and in June 2015 was appointed to the Executive Committee of Sammons Enterprises’ board of directors, on which he continues to serve. From June 2015 to February 2024, Mr. Ash served as Chairman and Chief Executive Officer of Sammons Industrial, which is the parent company of Sammons Enterprises’ industrial investments and operating companies. Mr. Ash began his career in public accounting, and prior to joining Sammons Enterprises, he served in financial leadership roles in the private equity, consumer products manufacturing, professional services, and real estate sectors.</w:t>
            </w:r>
          </w:p>
          <w:p>
            <w:pPr>
              <w:pStyle w:val="TableContents"/>
              <w:bidi w:val="0"/>
              <w:spacing w:before="0" w:after="0"/>
              <w:jc w:val="left"/>
              <w:rPr/>
            </w:pPr>
            <w:r>
              <w:rPr/>
              <w:t> </w:t>
            </w:r>
          </w:p>
          <w:p>
            <w:pPr>
              <w:pStyle w:val="TableContents"/>
              <w:bidi w:val="0"/>
              <w:spacing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70" w:before="0" w:after="20"/>
              <w:jc w:val="left"/>
              <w:rPr>
                <w:rFonts w:ascii="Arial" w:hAnsi="Arial"/>
                <w:color w:val="191919"/>
                <w:sz w:val="18"/>
              </w:rPr>
            </w:pPr>
            <w:r>
              <w:rPr>
                <w:rFonts w:ascii="Arial" w:hAnsi="Arial"/>
                <w:color w:val="191919"/>
                <w:sz w:val="18"/>
              </w:rPr>
              <w:t>We believe Mr. Ash is well qualified to serve as a director due to his executive and board leadership experience and his deep financial and operational expertise. Mr. Ash’s experience and expertise leading complex, global organizations, as well as his corporate development experience and investment acumen, provides the Board with unique insight into the Company’s growth opportunities and positions him well to support the Company’s growth strategy and manufacturing optimization focus.</w:t>
            </w:r>
          </w:p>
        </w:tc>
      </w:tr>
      <w:tr>
        <w:trPr/>
        <w:tc>
          <w:tcPr>
            <w:tcW w:w="4218" w:type="dxa"/>
            <w:tcBorders/>
            <w:shd w:fill="EDEDED" w:val="clear"/>
            <w:vAlign w:val="center"/>
          </w:tcPr>
          <w:p>
            <w:pPr>
              <w:pStyle w:val="TableContents"/>
              <w:bidi w:val="0"/>
              <w:spacing w:before="0" w:after="0"/>
              <w:jc w:val="left"/>
              <w:rPr/>
            </w:pPr>
            <w:r>
              <w:rPr/>
              <w:t> </w:t>
            </w:r>
          </w:p>
          <w:p>
            <w:pPr>
              <w:pStyle w:val="TableContents"/>
              <w:bidi w:val="0"/>
              <w:spacing w:lineRule="atLeast" w:line="280" w:before="0" w:after="0"/>
              <w:jc w:val="left"/>
              <w:rPr>
                <w:rFonts w:ascii="Arial" w:hAnsi="Arial"/>
                <w:sz w:val="25"/>
              </w:rPr>
            </w:pPr>
            <w:r>
              <w:rPr>
                <w:rFonts w:ascii="Arial" w:hAnsi="Arial"/>
                <w:b/>
                <w:color w:val="0A7DAC"/>
                <w:sz w:val="25"/>
              </w:rPr>
              <w:t xml:space="preserve">Age: </w:t>
            </w:r>
            <w:r>
              <w:rPr>
                <w:rFonts w:ascii="Arial" w:hAnsi="Arial"/>
                <w:color w:val="191919"/>
                <w:sz w:val="25"/>
              </w:rPr>
              <w:t>61</w:t>
            </w:r>
          </w:p>
          <w:p>
            <w:pPr>
              <w:pStyle w:val="TableContents"/>
              <w:bidi w:val="0"/>
              <w:spacing w:before="0" w:after="0"/>
              <w:jc w:val="left"/>
              <w:rPr/>
            </w:pPr>
            <w:r>
              <w:rPr/>
              <w:t> </w:t>
            </w:r>
          </w:p>
          <w:p>
            <w:pPr>
              <w:pStyle w:val="TableContents"/>
              <w:bidi w:val="0"/>
              <w:spacing w:lineRule="atLeast" w:line="280" w:before="0" w:after="0"/>
              <w:jc w:val="left"/>
              <w:rPr>
                <w:rFonts w:ascii="Arial" w:hAnsi="Arial"/>
                <w:b/>
                <w:color w:val="0A7DAC"/>
                <w:sz w:val="25"/>
              </w:rPr>
            </w:pPr>
            <w:r>
              <w:rPr>
                <w:rFonts w:ascii="Arial" w:hAnsi="Arial"/>
                <w:b/>
                <w:color w:val="0A7DAC"/>
                <w:sz w:val="25"/>
              </w:rPr>
              <w:t>Director Since:</w:t>
            </w:r>
          </w:p>
          <w:p>
            <w:pPr>
              <w:pStyle w:val="TableContents"/>
              <w:bidi w:val="0"/>
              <w:spacing w:lineRule="atLeast" w:line="280" w:before="0" w:after="0"/>
              <w:jc w:val="left"/>
              <w:rPr>
                <w:rFonts w:ascii="Arial" w:hAnsi="Arial"/>
                <w:color w:val="191919"/>
                <w:sz w:val="25"/>
              </w:rPr>
            </w:pPr>
            <w:r>
              <w:rPr>
                <w:rFonts w:ascii="Arial" w:hAnsi="Arial"/>
                <w:color w:val="191919"/>
                <w:sz w:val="25"/>
              </w:rPr>
              <w:t>June 2024</w:t>
            </w:r>
          </w:p>
          <w:p>
            <w:pPr>
              <w:pStyle w:val="TableContents"/>
              <w:bidi w:val="0"/>
              <w:spacing w:before="0" w:after="0"/>
              <w:jc w:val="left"/>
              <w:rPr/>
            </w:pPr>
            <w:r>
              <w:rPr/>
              <w:t> </w:t>
            </w:r>
          </w:p>
          <w:p>
            <w:pPr>
              <w:pStyle w:val="TableContents"/>
              <w:bidi w:val="0"/>
              <w:spacing w:lineRule="atLeast" w:line="280" w:before="0" w:after="0"/>
              <w:jc w:val="left"/>
              <w:rPr>
                <w:rFonts w:ascii="Arial" w:hAnsi="Arial"/>
                <w:b/>
                <w:color w:val="0A7DAC"/>
                <w:sz w:val="25"/>
              </w:rPr>
            </w:pPr>
            <w:r>
              <w:rPr>
                <w:rFonts w:ascii="Arial" w:hAnsi="Arial"/>
                <w:b/>
                <w:color w:val="0A7DAC"/>
                <w:sz w:val="25"/>
              </w:rPr>
              <w:t>INDEPENDENT</w:t>
            </w:r>
          </w:p>
          <w:p>
            <w:pPr>
              <w:pStyle w:val="TableContents"/>
              <w:bidi w:val="0"/>
              <w:spacing w:before="0" w:after="0"/>
              <w:jc w:val="left"/>
              <w:rPr/>
            </w:pPr>
            <w:r>
              <w:rPr/>
              <w:t> </w:t>
            </w:r>
          </w:p>
          <w:p>
            <w:pPr>
              <w:pStyle w:val="TableContents"/>
              <w:bidi w:val="0"/>
              <w:spacing w:lineRule="atLeast" w:line="280" w:before="0" w:after="0"/>
              <w:jc w:val="left"/>
              <w:rPr>
                <w:rFonts w:ascii="Arial" w:hAnsi="Arial"/>
                <w:b/>
                <w:color w:val="0A7DAC"/>
                <w:sz w:val="25"/>
              </w:rPr>
            </w:pPr>
            <w:r>
              <w:rPr>
                <w:rFonts w:ascii="Arial" w:hAnsi="Arial"/>
                <w:b/>
                <w:color w:val="0A7DAC"/>
                <w:sz w:val="25"/>
              </w:rPr>
              <w:t>CSW Board Committee(s):</w:t>
            </w:r>
          </w:p>
          <w:p>
            <w:pPr>
              <w:pStyle w:val="TableContents"/>
              <w:bidi w:val="0"/>
              <w:spacing w:lineRule="atLeast" w:line="280" w:before="0" w:after="0"/>
              <w:jc w:val="left"/>
              <w:rPr>
                <w:color w:val="228AB4"/>
              </w:rPr>
            </w:pPr>
            <w:r>
              <w:rPr>
                <w:color w:val="228AB4"/>
              </w:rPr>
              <w:t>•</w:t>
            </w:r>
          </w:p>
          <w:p>
            <w:pPr>
              <w:pStyle w:val="TableContents"/>
              <w:bidi w:val="0"/>
              <w:spacing w:lineRule="atLeast" w:line="280" w:before="0" w:after="0"/>
              <w:jc w:val="left"/>
              <w:rPr>
                <w:rFonts w:ascii="Arial" w:hAnsi="Arial"/>
                <w:color w:val="191919"/>
                <w:sz w:val="25"/>
              </w:rPr>
            </w:pPr>
            <w:r>
              <w:rPr>
                <w:rFonts w:ascii="Arial" w:hAnsi="Arial"/>
                <w:color w:val="191919"/>
                <w:sz w:val="25"/>
              </w:rPr>
              <w:t>Audit</w:t>
            </w:r>
          </w:p>
          <w:p>
            <w:pPr>
              <w:pStyle w:val="TableContents"/>
              <w:bidi w:val="0"/>
              <w:spacing w:lineRule="atLeast" w:line="280" w:before="0" w:after="0"/>
              <w:jc w:val="left"/>
              <w:rPr>
                <w:color w:val="228AB4"/>
              </w:rPr>
            </w:pPr>
            <w:r>
              <w:rPr>
                <w:color w:val="228AB4"/>
              </w:rPr>
              <w:t>•</w:t>
            </w:r>
          </w:p>
          <w:p>
            <w:pPr>
              <w:pStyle w:val="TableContents"/>
              <w:bidi w:val="0"/>
              <w:spacing w:lineRule="atLeast" w:line="280" w:before="0" w:after="0"/>
              <w:jc w:val="left"/>
              <w:rPr>
                <w:rFonts w:ascii="Arial" w:hAnsi="Arial"/>
                <w:color w:val="191919"/>
                <w:sz w:val="25"/>
              </w:rPr>
            </w:pPr>
            <w:r>
              <w:rPr>
                <w:rFonts w:ascii="Arial" w:hAnsi="Arial"/>
                <w:color w:val="191919"/>
                <w:sz w:val="25"/>
              </w:rPr>
              <w:t>Compensation &amp; Talent Development</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84"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righ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62"/>
        <w:gridCol w:w="120"/>
        <w:gridCol w:w="23"/>
        <w:gridCol w:w="60"/>
        <w:gridCol w:w="5740"/>
      </w:tblGrid>
      <w:tr>
        <w:trPr/>
        <w:tc>
          <w:tcPr>
            <w:tcW w:w="42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40" w:type="dxa"/>
            <w:tcBorders/>
            <w:vAlign w:val="center"/>
          </w:tcPr>
          <w:p>
            <w:pPr>
              <w:pStyle w:val="TableContents"/>
              <w:bidi w:val="0"/>
              <w:spacing w:before="0" w:after="283"/>
              <w:jc w:val="left"/>
              <w:rPr>
                <w:sz w:val="4"/>
                <w:szCs w:val="4"/>
              </w:rPr>
            </w:pPr>
            <w:r>
              <w:rPr>
                <w:sz w:val="4"/>
                <w:szCs w:val="4"/>
              </w:rPr>
            </w:r>
          </w:p>
        </w:tc>
      </w:tr>
      <w:tr>
        <w:trPr/>
        <w:tc>
          <w:tcPr>
            <w:tcW w:w="4262" w:type="dxa"/>
            <w:tcBorders/>
            <w:vAlign w:val="center"/>
          </w:tcPr>
          <w:p>
            <w:pPr>
              <w:pStyle w:val="TableContents"/>
              <w:bidi w:val="0"/>
              <w:spacing w:before="0" w:after="0"/>
              <w:jc w:val="center"/>
              <w:rPr/>
            </w:pPr>
            <w:r>
              <w:rPr/>
              <w:drawing>
                <wp:inline distT="0" distB="0" distL="0" distR="0">
                  <wp:extent cx="2667000" cy="2686050"/>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2667000"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40"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Michael R. Gambrell</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Former EVP, The Dow Chemical Company</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60" w:before="0" w:after="0"/>
              <w:jc w:val="left"/>
              <w:rPr>
                <w:rFonts w:ascii="Arial" w:hAnsi="Arial"/>
                <w:color w:val="191919"/>
                <w:sz w:val="18"/>
              </w:rPr>
            </w:pPr>
            <w:r>
              <w:rPr>
                <w:rFonts w:ascii="Arial" w:hAnsi="Arial"/>
                <w:color w:val="191919"/>
                <w:sz w:val="18"/>
              </w:rPr>
              <w:t>Mr. Gambrell had a 37-year career at The Dow Chemical Company, a publicly traded chemicals company (now Dow, Inc.), most recently serving as an Executive Vice President and an advisor to the Chairman and CEO of Dow. During his time at Dow, Mr. Gambrell served on the company’s Executive Leadership Committee, Strategy Board, Sustainability Team, and Geographic Leadership Council, and he was an ex officio member of the Board’s Environment, Health and Safety Committee. In 2012, Mr. Gambrell founded GamCo, LLC, a privately-held company providing advisory services to public, private equity, and start-up companies as well as non-profit organizations. He served as Chairman of the Campbell Institute from 2012 to 2015, and as a director and member of the Executive Committee and Strategic Planning Committee of the National Safety Council from 2011 to 2015.</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60" w:before="0" w:after="0"/>
              <w:jc w:val="left"/>
              <w:rPr>
                <w:rFonts w:ascii="Arial" w:hAnsi="Arial"/>
                <w:color w:val="191919"/>
                <w:sz w:val="18"/>
              </w:rPr>
            </w:pPr>
            <w:r>
              <w:rPr>
                <w:rFonts w:ascii="Arial" w:hAnsi="Arial"/>
                <w:color w:val="191919"/>
                <w:sz w:val="18"/>
              </w:rPr>
              <w:t>We believe Mr. Gambrell is well qualified to serve as a director due to his executive and board leadership experience and his extensive knowledge of the chemicals industry, which provide a global perspective and deep understanding of the Company’s products, customers, end markets, competitive landscape, and operational challenges and opportunities. In addition, Mr. Gambrell has extensive corporate development experience and integration expertise, as well as knowledge and experience in addressing health, safety and environmental issues, which provides the Board unique insight into the Company’s strategic growth plans.</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Other Public Company Directorships</w:t>
            </w:r>
          </w:p>
          <w:p>
            <w:pPr>
              <w:pStyle w:val="TableContents"/>
              <w:bidi w:val="0"/>
              <w:spacing w:lineRule="atLeast" w:line="260" w:before="0" w:after="0"/>
              <w:jc w:val="left"/>
              <w:rPr>
                <w:color w:val="228AB4"/>
              </w:rPr>
            </w:pPr>
            <w:r>
              <w:rPr>
                <w:color w:val="228AB4"/>
              </w:rPr>
              <w:t>•</w:t>
            </w:r>
          </w:p>
          <w:p>
            <w:pPr>
              <w:pStyle w:val="TableContents"/>
              <w:bidi w:val="0"/>
              <w:spacing w:lineRule="atLeast" w:line="260" w:before="0" w:after="0"/>
              <w:jc w:val="left"/>
              <w:rPr>
                <w:rFonts w:ascii="Arial" w:hAnsi="Arial"/>
                <w:color w:val="191919"/>
                <w:sz w:val="18"/>
              </w:rPr>
            </w:pPr>
            <w:r>
              <w:rPr>
                <w:rFonts w:ascii="Arial" w:hAnsi="Arial"/>
                <w:color w:val="191919"/>
                <w:sz w:val="18"/>
              </w:rPr>
              <w:t>TRW Automotive Inc. (2007-2015)</w:t>
            </w:r>
          </w:p>
        </w:tc>
      </w:tr>
      <w:tr>
        <w:trPr/>
        <w:tc>
          <w:tcPr>
            <w:tcW w:w="4262"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5"/>
              </w:rPr>
            </w:pPr>
            <w:r>
              <w:rPr>
                <w:rFonts w:ascii="Arial" w:hAnsi="Arial"/>
                <w:b/>
                <w:color w:val="0A7DAC"/>
                <w:sz w:val="25"/>
              </w:rPr>
              <w:t xml:space="preserve">Age: </w:t>
            </w:r>
            <w:r>
              <w:rPr>
                <w:rFonts w:ascii="Arial" w:hAnsi="Arial"/>
                <w:color w:val="191919"/>
                <w:sz w:val="25"/>
              </w:rPr>
              <w:t>72</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Director Since:</w:t>
            </w:r>
          </w:p>
          <w:p>
            <w:pPr>
              <w:pStyle w:val="TableContents"/>
              <w:bidi w:val="0"/>
              <w:spacing w:before="0" w:after="0"/>
              <w:jc w:val="left"/>
              <w:rPr>
                <w:rFonts w:ascii="Arial" w:hAnsi="Arial"/>
                <w:color w:val="191919"/>
                <w:sz w:val="25"/>
              </w:rPr>
            </w:pPr>
            <w:r>
              <w:rPr>
                <w:rFonts w:ascii="Arial" w:hAnsi="Arial"/>
                <w:color w:val="191919"/>
                <w:sz w:val="25"/>
              </w:rPr>
              <w:t>September 2015</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INDEPENDENT</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CSW Board Committee(s):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Nominating &amp; Corporate Governance (Chair)</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40"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7810500" cy="14287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7810500" cy="1428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20"/>
        <w:gridCol w:w="120"/>
        <w:gridCol w:w="23"/>
        <w:gridCol w:w="60"/>
        <w:gridCol w:w="5782"/>
      </w:tblGrid>
      <w:tr>
        <w:trPr/>
        <w:tc>
          <w:tcPr>
            <w:tcW w:w="4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2" w:type="dxa"/>
            <w:tcBorders/>
            <w:vAlign w:val="center"/>
          </w:tcPr>
          <w:p>
            <w:pPr>
              <w:pStyle w:val="TableContents"/>
              <w:bidi w:val="0"/>
              <w:spacing w:before="0" w:after="283"/>
              <w:jc w:val="left"/>
              <w:rPr>
                <w:sz w:val="4"/>
                <w:szCs w:val="4"/>
              </w:rPr>
            </w:pPr>
            <w:r>
              <w:rPr>
                <w:sz w:val="4"/>
                <w:szCs w:val="4"/>
              </w:rPr>
            </w:r>
          </w:p>
        </w:tc>
      </w:tr>
      <w:tr>
        <w:trPr/>
        <w:tc>
          <w:tcPr>
            <w:tcW w:w="422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00" cy="2686050"/>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2667000"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82"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Bobby Griffin</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Chief Diversity Officer</w:t>
              <w:br/>
              <w:t>Rockwell Automation, Inc.</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60" w:before="0" w:after="0"/>
              <w:jc w:val="left"/>
              <w:rPr>
                <w:rFonts w:ascii="Arial" w:hAnsi="Arial"/>
                <w:color w:val="191919"/>
                <w:sz w:val="18"/>
              </w:rPr>
            </w:pPr>
            <w:r>
              <w:rPr>
                <w:rFonts w:ascii="Arial" w:hAnsi="Arial"/>
                <w:color w:val="191919"/>
                <w:sz w:val="18"/>
              </w:rPr>
              <w:t>Mr. Griffin has served as Chief Diversity Officer of Rockwell Automation, Inc. since February 2021. Prior to that role and beginning in 2017, Mr. Griffin served as Vice President of Diversity and Inclusion at CBRE Group, Inc., and prior to that served as Global Director of Diversity and Inclusion at Flowserve Corporation. Additionally, Mr. Griffin held various human resources and business partner leadership positions in Fortune 100 companies, including Coca-Cola Enterprises and Merck &amp; Co.</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60" w:before="0" w:after="20"/>
              <w:jc w:val="left"/>
              <w:rPr>
                <w:rFonts w:ascii="Arial" w:hAnsi="Arial"/>
                <w:color w:val="191919"/>
                <w:sz w:val="18"/>
              </w:rPr>
            </w:pPr>
            <w:r>
              <w:rPr>
                <w:rFonts w:ascii="Arial" w:hAnsi="Arial"/>
                <w:color w:val="191919"/>
                <w:sz w:val="18"/>
              </w:rPr>
              <w:t>We believe Mr. Griffin is well qualified to serve as a director due to his notable expertise in corporate culture, organizational health, diversity &amp; inclusion, talent management, leadership development, and compensation and benefits, which provides the Board a valuable perspective on the Company’s core values and employee-centric culture. His experience also provides strategic insight into the Company’s leadership development, human capital management, and organizational design opportunities in support of the Company’s strategic growth plans.</w:t>
            </w:r>
          </w:p>
        </w:tc>
      </w:tr>
      <w:tr>
        <w:trPr/>
        <w:tc>
          <w:tcPr>
            <w:tcW w:w="422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5"/>
              </w:rPr>
            </w:pPr>
            <w:r>
              <w:rPr>
                <w:rFonts w:ascii="Arial" w:hAnsi="Arial"/>
                <w:b/>
                <w:color w:val="0A7DAC"/>
                <w:sz w:val="25"/>
              </w:rPr>
              <w:t xml:space="preserve">Age: </w:t>
            </w:r>
            <w:r>
              <w:rPr>
                <w:rFonts w:ascii="Arial" w:hAnsi="Arial"/>
                <w:color w:val="191919"/>
                <w:sz w:val="25"/>
              </w:rPr>
              <w:t>59</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Director Since:</w:t>
            </w:r>
          </w:p>
          <w:p>
            <w:pPr>
              <w:pStyle w:val="TableContents"/>
              <w:bidi w:val="0"/>
              <w:spacing w:before="0" w:after="0"/>
              <w:jc w:val="left"/>
              <w:rPr>
                <w:rFonts w:ascii="Arial" w:hAnsi="Arial"/>
                <w:color w:val="191919"/>
                <w:sz w:val="25"/>
              </w:rPr>
            </w:pPr>
            <w:r>
              <w:rPr>
                <w:rFonts w:ascii="Arial" w:hAnsi="Arial"/>
                <w:color w:val="191919"/>
                <w:sz w:val="25"/>
              </w:rPr>
              <w:t>December 2021</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INDEPENDENT</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CSW Board Committee(s):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Compensation &amp; Talent Development</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Nominating &amp; Corporate Governance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82"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lef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20"/>
        <w:gridCol w:w="120"/>
        <w:gridCol w:w="23"/>
        <w:gridCol w:w="60"/>
        <w:gridCol w:w="5782"/>
      </w:tblGrid>
      <w:tr>
        <w:trPr/>
        <w:tc>
          <w:tcPr>
            <w:tcW w:w="4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2" w:type="dxa"/>
            <w:tcBorders/>
            <w:vAlign w:val="center"/>
          </w:tcPr>
          <w:p>
            <w:pPr>
              <w:pStyle w:val="TableContents"/>
              <w:bidi w:val="0"/>
              <w:spacing w:before="0" w:after="283"/>
              <w:jc w:val="left"/>
              <w:rPr>
                <w:sz w:val="4"/>
                <w:szCs w:val="4"/>
              </w:rPr>
            </w:pPr>
            <w:r>
              <w:rPr>
                <w:sz w:val="4"/>
                <w:szCs w:val="4"/>
              </w:rPr>
            </w:r>
          </w:p>
        </w:tc>
      </w:tr>
      <w:tr>
        <w:trPr/>
        <w:tc>
          <w:tcPr>
            <w:tcW w:w="4220"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00" cy="2686050"/>
                  <wp:effectExtent l="0" t="0" r="0" b="0"/>
                  <wp:docPr id="1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4" descr=""/>
                          <pic:cNvPicPr>
                            <a:picLocks noChangeAspect="1" noChangeArrowheads="1"/>
                          </pic:cNvPicPr>
                        </pic:nvPicPr>
                        <pic:blipFill>
                          <a:blip r:embed="rId195"/>
                          <a:stretch>
                            <a:fillRect/>
                          </a:stretch>
                        </pic:blipFill>
                        <pic:spPr bwMode="auto">
                          <a:xfrm>
                            <a:off x="0" y="0"/>
                            <a:ext cx="2667000"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82"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Terry L. Johnston</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Former EVP &amp; COO, Commercial Segment,</w:t>
              <w:br/>
              <w:t>Lennox International</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60" w:before="0" w:after="0"/>
              <w:jc w:val="left"/>
              <w:rPr>
                <w:rFonts w:ascii="Arial" w:hAnsi="Arial"/>
                <w:color w:val="191919"/>
                <w:sz w:val="18"/>
              </w:rPr>
            </w:pPr>
            <w:r>
              <w:rPr>
                <w:rFonts w:ascii="Arial" w:hAnsi="Arial"/>
                <w:color w:val="191919"/>
                <w:sz w:val="18"/>
              </w:rPr>
              <w:t>Mr. Johnston was Executive Vice President and Chief Operating Officer of the Commercial Segment of Lennox International Inc., a leading international provider of heating and cooling systems and technologies for residential and commercial applications, from 2013 until October 2019. Before assuming that position, Mr. Johnston held roles of increasing responsibility with Lennox International from the time he joined the company in 2001. Prior to his time with Lennox International, Mr. Johnston spent 20 years with General Electric Company, serving primarily in marketing and commercial leadership roles.</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60" w:before="0" w:after="0"/>
              <w:jc w:val="left"/>
              <w:rPr>
                <w:rFonts w:ascii="Arial" w:hAnsi="Arial"/>
                <w:color w:val="191919"/>
                <w:sz w:val="18"/>
              </w:rPr>
            </w:pPr>
            <w:r>
              <w:rPr>
                <w:rFonts w:ascii="Arial" w:hAnsi="Arial"/>
                <w:color w:val="191919"/>
                <w:sz w:val="18"/>
              </w:rPr>
              <w:t>We believe Mr. Johnston is well qualified to serve as a director due to his executive leadership experience and extensive knowledge of the Company’s served industrial markets. In addition, Mr. Johnston has extensive global experience, strategic planning experience, and operational and commercial expertise, which provides the Board with a global perspective and positions him well to support the Company’s growth strategy and manufacturing optimization focus.</w:t>
            </w:r>
          </w:p>
          <w:p>
            <w:pPr>
              <w:pStyle w:val="TableContents"/>
              <w:bidi w:val="0"/>
              <w:spacing w:before="0" w:after="20"/>
              <w:jc w:val="left"/>
              <w:rPr/>
            </w:pPr>
            <w:r>
              <w:rPr/>
              <w:t> </w:t>
            </w:r>
          </w:p>
        </w:tc>
      </w:tr>
      <w:tr>
        <w:trPr/>
        <w:tc>
          <w:tcPr>
            <w:tcW w:w="422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5"/>
              </w:rPr>
            </w:pPr>
            <w:r>
              <w:rPr>
                <w:rFonts w:ascii="Arial" w:hAnsi="Arial"/>
                <w:b/>
                <w:color w:val="0A7DAC"/>
                <w:sz w:val="25"/>
              </w:rPr>
              <w:t xml:space="preserve">Age: </w:t>
            </w:r>
            <w:r>
              <w:rPr>
                <w:rFonts w:ascii="Arial" w:hAnsi="Arial"/>
                <w:color w:val="191919"/>
                <w:sz w:val="25"/>
              </w:rPr>
              <w:t>68</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Director Since:</w:t>
            </w:r>
          </w:p>
          <w:p>
            <w:pPr>
              <w:pStyle w:val="TableContents"/>
              <w:bidi w:val="0"/>
              <w:spacing w:before="0" w:after="0"/>
              <w:jc w:val="left"/>
              <w:rPr>
                <w:rFonts w:ascii="Arial" w:hAnsi="Arial"/>
                <w:color w:val="191919"/>
                <w:sz w:val="25"/>
              </w:rPr>
            </w:pPr>
            <w:r>
              <w:rPr>
                <w:rFonts w:ascii="Arial" w:hAnsi="Arial"/>
                <w:color w:val="191919"/>
                <w:sz w:val="25"/>
              </w:rPr>
              <w:t>January 2017</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INDEPENDENT</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CSW Board Committee(s):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Audit</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Nominating &amp; Corporate Governance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82"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7810500" cy="142875"/>
            <wp:effectExtent l="0" t="0" r="0" b="0"/>
            <wp:docPr id="1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5" descr=""/>
                    <pic:cNvPicPr>
                      <a:picLocks noChangeAspect="1" noChangeArrowheads="1"/>
                    </pic:cNvPicPr>
                  </pic:nvPicPr>
                  <pic:blipFill>
                    <a:blip r:embed="rId196"/>
                    <a:stretch>
                      <a:fillRect/>
                    </a:stretch>
                  </pic:blipFill>
                  <pic:spPr bwMode="auto">
                    <a:xfrm>
                      <a:off x="0" y="0"/>
                      <a:ext cx="7810500" cy="14287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2"/>
        <w:gridCol w:w="120"/>
        <w:gridCol w:w="23"/>
        <w:gridCol w:w="60"/>
        <w:gridCol w:w="5770"/>
      </w:tblGrid>
      <w:tr>
        <w:trPr/>
        <w:tc>
          <w:tcPr>
            <w:tcW w:w="42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70" w:type="dxa"/>
            <w:tcBorders/>
            <w:vAlign w:val="center"/>
          </w:tcPr>
          <w:p>
            <w:pPr>
              <w:pStyle w:val="TableContents"/>
              <w:bidi w:val="0"/>
              <w:spacing w:before="0" w:after="283"/>
              <w:jc w:val="left"/>
              <w:rPr>
                <w:sz w:val="4"/>
                <w:szCs w:val="4"/>
              </w:rPr>
            </w:pPr>
            <w:r>
              <w:rPr>
                <w:sz w:val="4"/>
                <w:szCs w:val="4"/>
              </w:rPr>
            </w:r>
          </w:p>
        </w:tc>
      </w:tr>
      <w:tr>
        <w:trPr/>
        <w:tc>
          <w:tcPr>
            <w:tcW w:w="4232" w:type="dxa"/>
            <w:tcBorders/>
            <w:vAlign w:val="center"/>
          </w:tcPr>
          <w:p>
            <w:pPr>
              <w:pStyle w:val="TableContents"/>
              <w:bidi w:val="0"/>
              <w:spacing w:before="0" w:after="0"/>
              <w:jc w:val="center"/>
              <w:rPr/>
            </w:pPr>
            <w:r>
              <w:rPr/>
              <w:drawing>
                <wp:inline distT="0" distB="0" distL="0" distR="0">
                  <wp:extent cx="2676525" cy="2686050"/>
                  <wp:effectExtent l="0" t="0" r="0" b="0"/>
                  <wp:docPr id="2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6" descr=""/>
                          <pic:cNvPicPr>
                            <a:picLocks noChangeAspect="1" noChangeArrowheads="1"/>
                          </pic:cNvPicPr>
                        </pic:nvPicPr>
                        <pic:blipFill>
                          <a:blip r:embed="rId197"/>
                          <a:stretch>
                            <a:fillRect/>
                          </a:stretch>
                        </pic:blipFill>
                        <pic:spPr bwMode="auto">
                          <a:xfrm>
                            <a:off x="0" y="0"/>
                            <a:ext cx="2676525"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70"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Linda A. Livingstone, Ph.D.</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President, Baylor University</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60" w:before="0" w:after="0"/>
              <w:jc w:val="left"/>
              <w:rPr>
                <w:rFonts w:ascii="Arial" w:hAnsi="Arial"/>
                <w:color w:val="191919"/>
                <w:sz w:val="18"/>
              </w:rPr>
            </w:pPr>
            <w:r>
              <w:rPr>
                <w:rFonts w:ascii="Arial" w:hAnsi="Arial"/>
                <w:color w:val="191919"/>
                <w:sz w:val="18"/>
              </w:rPr>
              <w:t>Dr. Livingstone is President of Baylor University, a position she has held since June 2017. From August 2014 through May 2017, she served as Dean of The George Washington University School of Business, and she previously served as Dean of the Graziadio School of Business and Management at Pepperdine University for twelve years. Dr. Livingstone began her academic career at Baylor University, where she served for eleven years as an Assistant and then Associate Professor of Management, which included serving for four years as Associate Dean for Graduate Programs. Dr. Livingstone currently serves on the Big 12 Conference board of directors and the Baylor College of Medicine board of trustees. She also serves on the board of the International Association of Baptist Colleges &amp; Universities, and has previously served on the board of directors for the American Council on Education. Dr. Livingstone has served as the Company’s Lead Independent Director since August 2025.</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60" w:before="0" w:after="0"/>
              <w:jc w:val="left"/>
              <w:rPr>
                <w:rFonts w:ascii="Arial" w:hAnsi="Arial"/>
                <w:color w:val="191919"/>
                <w:sz w:val="18"/>
              </w:rPr>
            </w:pPr>
            <w:r>
              <w:rPr>
                <w:rFonts w:ascii="Arial" w:hAnsi="Arial"/>
                <w:color w:val="191919"/>
                <w:sz w:val="18"/>
              </w:rPr>
              <w:t>We believe Dr. Livingstone is well qualified to serve as a director due to her extensive executive leadership experience, as well as experience as an administrator and educator in the field of business administration, all of which provide the Board a valuable perspective on organizational development, corporate governance, information security, executive compensation, and leadership development matters.</w:t>
            </w:r>
          </w:p>
          <w:p>
            <w:pPr>
              <w:pStyle w:val="TableContents"/>
              <w:bidi w:val="0"/>
              <w:spacing w:before="0" w:after="20"/>
              <w:jc w:val="left"/>
              <w:rPr/>
            </w:pPr>
            <w:r>
              <w:rPr/>
              <w:t> </w:t>
            </w:r>
          </w:p>
        </w:tc>
      </w:tr>
      <w:tr>
        <w:trPr/>
        <w:tc>
          <w:tcPr>
            <w:tcW w:w="4232"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5"/>
              </w:rPr>
            </w:pPr>
            <w:r>
              <w:rPr>
                <w:rFonts w:ascii="Arial" w:hAnsi="Arial"/>
                <w:b/>
                <w:color w:val="0A7DAC"/>
                <w:sz w:val="25"/>
              </w:rPr>
              <w:t xml:space="preserve">Age: </w:t>
            </w:r>
            <w:r>
              <w:rPr>
                <w:rFonts w:ascii="Arial" w:hAnsi="Arial"/>
                <w:color w:val="191919"/>
                <w:sz w:val="25"/>
              </w:rPr>
              <w:t>66</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Director Since:</w:t>
            </w:r>
          </w:p>
          <w:p>
            <w:pPr>
              <w:pStyle w:val="TableContents"/>
              <w:bidi w:val="0"/>
              <w:spacing w:before="0" w:after="0"/>
              <w:jc w:val="left"/>
              <w:rPr>
                <w:rFonts w:ascii="Arial" w:hAnsi="Arial"/>
                <w:color w:val="191919"/>
                <w:sz w:val="25"/>
              </w:rPr>
            </w:pPr>
            <w:r>
              <w:rPr>
                <w:rFonts w:ascii="Arial" w:hAnsi="Arial"/>
                <w:color w:val="191919"/>
                <w:sz w:val="25"/>
              </w:rPr>
              <w:t>September 2015</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INDEPENDENT</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CSW Board Committee(s):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Compensation &amp; Talent Development</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Nominating &amp; Corporate Governance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7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7" descr=""/>
                          <pic:cNvPicPr>
                            <a:picLocks noChangeAspect="1" noChangeArrowheads="1"/>
                          </pic:cNvPicPr>
                        </pic:nvPicPr>
                        <pic:blipFill>
                          <a:blip r:embed="rId198"/>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righ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7"/>
        <w:gridCol w:w="120"/>
        <w:gridCol w:w="23"/>
        <w:gridCol w:w="60"/>
        <w:gridCol w:w="5785"/>
      </w:tblGrid>
      <w:tr>
        <w:trPr/>
        <w:tc>
          <w:tcPr>
            <w:tcW w:w="4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85" w:type="dxa"/>
            <w:tcBorders/>
            <w:vAlign w:val="center"/>
          </w:tcPr>
          <w:p>
            <w:pPr>
              <w:pStyle w:val="TableContents"/>
              <w:bidi w:val="0"/>
              <w:spacing w:before="0" w:after="283"/>
              <w:jc w:val="left"/>
              <w:rPr>
                <w:sz w:val="4"/>
                <w:szCs w:val="4"/>
              </w:rPr>
            </w:pPr>
            <w:r>
              <w:rPr>
                <w:sz w:val="4"/>
                <w:szCs w:val="4"/>
              </w:rPr>
            </w:r>
          </w:p>
        </w:tc>
      </w:tr>
      <w:tr>
        <w:trPr/>
        <w:tc>
          <w:tcPr>
            <w:tcW w:w="4217"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00" cy="2686050"/>
                  <wp:effectExtent l="0" t="0" r="0" b="0"/>
                  <wp:docPr id="2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 descr=""/>
                          <pic:cNvPicPr>
                            <a:picLocks noChangeAspect="1" noChangeArrowheads="1"/>
                          </pic:cNvPicPr>
                        </pic:nvPicPr>
                        <pic:blipFill>
                          <a:blip r:embed="rId199"/>
                          <a:stretch>
                            <a:fillRect/>
                          </a:stretch>
                        </pic:blipFill>
                        <pic:spPr bwMode="auto">
                          <a:xfrm>
                            <a:off x="0" y="0"/>
                            <a:ext cx="2667000" cy="26860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785" w:type="dxa"/>
            <w:vMerge w:val="restart"/>
            <w:tcBorders/>
            <w:vAlign w:val="center"/>
          </w:tcPr>
          <w:p>
            <w:pPr>
              <w:pStyle w:val="TableContents"/>
              <w:bidi w:val="0"/>
              <w:spacing w:lineRule="atLeast" w:line="400" w:before="0" w:after="0"/>
              <w:jc w:val="left"/>
              <w:rPr>
                <w:rFonts w:ascii="Arial" w:hAnsi="Arial"/>
                <w:b/>
                <w:color w:val="191919"/>
                <w:sz w:val="36"/>
              </w:rPr>
            </w:pPr>
            <w:r>
              <w:rPr>
                <w:rFonts w:ascii="Arial" w:hAnsi="Arial"/>
                <w:b/>
                <w:color w:val="191919"/>
                <w:sz w:val="36"/>
              </w:rPr>
              <w:t>Anne B. Motsenbocker</w:t>
            </w:r>
          </w:p>
          <w:p>
            <w:pPr>
              <w:pStyle w:val="TableContents"/>
              <w:bidi w:val="0"/>
              <w:spacing w:before="0" w:after="0"/>
              <w:jc w:val="left"/>
              <w:rPr/>
            </w:pPr>
            <w:r>
              <w:rPr/>
              <w:t> </w:t>
            </w:r>
          </w:p>
          <w:p>
            <w:pPr>
              <w:pStyle w:val="TableContents"/>
              <w:bidi w:val="0"/>
              <w:spacing w:lineRule="atLeast" w:line="300" w:before="0" w:after="0"/>
              <w:jc w:val="left"/>
              <w:rPr>
                <w:rFonts w:ascii="Arial" w:hAnsi="Arial"/>
                <w:b/>
                <w:color w:val="191919"/>
                <w:sz w:val="27"/>
              </w:rPr>
            </w:pPr>
            <w:r>
              <w:rPr>
                <w:rFonts w:ascii="Arial" w:hAnsi="Arial"/>
                <w:b/>
                <w:color w:val="191919"/>
                <w:sz w:val="27"/>
              </w:rPr>
              <w:t>Former Managing Director, J.P. Morgan Chase</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Professional Highlights</w:t>
            </w:r>
          </w:p>
          <w:p>
            <w:pPr>
              <w:pStyle w:val="TableContents"/>
              <w:bidi w:val="0"/>
              <w:spacing w:lineRule="atLeast" w:line="260" w:before="0" w:after="0"/>
              <w:jc w:val="left"/>
              <w:rPr>
                <w:rFonts w:ascii="Arial" w:hAnsi="Arial"/>
                <w:color w:val="191919"/>
                <w:sz w:val="18"/>
              </w:rPr>
            </w:pPr>
            <w:r>
              <w:rPr>
                <w:rFonts w:ascii="Arial" w:hAnsi="Arial"/>
                <w:color w:val="191919"/>
                <w:sz w:val="18"/>
              </w:rPr>
              <w:t>Ms. Motsenbocker is a former Managing Director of J.P. Morgan Chase, a global financial services company. She retired from J.P. Morgan Chase in February 2021 after a 36-year career with the firm, serving most recently as Managing Director and functional CEO of the Southwest Region of the Commercial Bank. Prior to that position, she held roles of increasing responsibility at J.P. Morgan Chase, including National Head of Multinational Corporations, President of Dallas Region Middle Market Bank, and Head of the Dallas Region of the Private Bank. From 2016 to 2022, Ms. Motsenbocker was a director of Children’s Health System of Texas, where she served as the chair of the HR and Compensation Committee and as a member of the Audit Committee. She also serves on the boards of the National Kidney Foundation, United Way Foundation of Metropolitan Dallas, NACD North Texas Chapter, and Economic Mobility Center.</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Key Skills and Qualifications</w:t>
            </w:r>
          </w:p>
          <w:p>
            <w:pPr>
              <w:pStyle w:val="TableContents"/>
              <w:bidi w:val="0"/>
              <w:spacing w:lineRule="atLeast" w:line="260" w:before="0" w:after="0"/>
              <w:jc w:val="left"/>
              <w:rPr>
                <w:rFonts w:ascii="Arial" w:hAnsi="Arial"/>
                <w:color w:val="191919"/>
                <w:sz w:val="18"/>
              </w:rPr>
            </w:pPr>
            <w:r>
              <w:rPr>
                <w:rFonts w:ascii="Arial" w:hAnsi="Arial"/>
                <w:color w:val="191919"/>
                <w:sz w:val="18"/>
              </w:rPr>
              <w:t>We believe Ms. Motsenbocker is well qualified to serve as a director due to her executive and board leadership experience and her strategic and financial acumen. Ms. Motsenbocker’s extensive experience in advising companies in the development and implementation of capital strategies, managing risk, achieving operational excellence, and growing organically and inorganically positions her well to support the Company’s strategic growth plans.</w:t>
            </w:r>
          </w:p>
          <w:p>
            <w:pPr>
              <w:pStyle w:val="TableContents"/>
              <w:bidi w:val="0"/>
              <w:spacing w:before="0" w:after="0"/>
              <w:jc w:val="left"/>
              <w:rPr/>
            </w:pPr>
            <w:r>
              <w:rPr/>
              <w:t> </w:t>
            </w:r>
          </w:p>
          <w:p>
            <w:pPr>
              <w:pStyle w:val="TableContents"/>
              <w:bidi w:val="0"/>
              <w:spacing w:lineRule="atLeast" w:line="240" w:before="0" w:after="0"/>
              <w:jc w:val="left"/>
              <w:rPr>
                <w:rFonts w:ascii="Arial" w:hAnsi="Arial"/>
                <w:b/>
                <w:color w:val="191919"/>
                <w:sz w:val="21"/>
              </w:rPr>
            </w:pPr>
            <w:r>
              <w:rPr>
                <w:rFonts w:ascii="Arial" w:hAnsi="Arial"/>
                <w:b/>
                <w:color w:val="191919"/>
                <w:sz w:val="21"/>
              </w:rPr>
              <w:t>Other Public Company Directorships</w:t>
            </w:r>
          </w:p>
          <w:p>
            <w:pPr>
              <w:pStyle w:val="TableContents"/>
              <w:bidi w:val="0"/>
              <w:spacing w:lineRule="atLeast" w:line="240" w:before="0" w:after="0"/>
              <w:jc w:val="left"/>
              <w:rPr>
                <w:color w:val="228AB4"/>
              </w:rPr>
            </w:pPr>
            <w:r>
              <w:rPr>
                <w:color w:val="228AB4"/>
              </w:rPr>
              <w:t>•</w:t>
            </w:r>
          </w:p>
          <w:p>
            <w:pPr>
              <w:pStyle w:val="TableContents"/>
              <w:bidi w:val="0"/>
              <w:spacing w:lineRule="atLeast" w:line="240" w:before="0" w:after="0"/>
              <w:jc w:val="left"/>
              <w:rPr>
                <w:rFonts w:ascii="Arial" w:hAnsi="Arial"/>
                <w:color w:val="191919"/>
                <w:sz w:val="18"/>
              </w:rPr>
            </w:pPr>
            <w:r>
              <w:rPr>
                <w:rFonts w:ascii="Arial" w:hAnsi="Arial"/>
                <w:color w:val="191919"/>
                <w:sz w:val="18"/>
              </w:rPr>
              <w:t>Fortress Private Lending Fund (August 2025-Present)</w:t>
            </w:r>
          </w:p>
          <w:p>
            <w:pPr>
              <w:pStyle w:val="TableContents"/>
              <w:bidi w:val="0"/>
              <w:spacing w:lineRule="atLeast" w:line="240" w:before="0" w:after="0"/>
              <w:jc w:val="left"/>
              <w:rPr>
                <w:color w:val="228AB4"/>
              </w:rPr>
            </w:pPr>
            <w:r>
              <w:rPr>
                <w:color w:val="228AB4"/>
              </w:rPr>
              <w:t>•</w:t>
            </w:r>
          </w:p>
          <w:p>
            <w:pPr>
              <w:pStyle w:val="TableContents"/>
              <w:bidi w:val="0"/>
              <w:spacing w:lineRule="atLeast" w:line="240" w:before="0" w:after="0"/>
              <w:jc w:val="left"/>
              <w:rPr>
                <w:rFonts w:ascii="Arial" w:hAnsi="Arial"/>
                <w:color w:val="191919"/>
                <w:sz w:val="18"/>
              </w:rPr>
            </w:pPr>
            <w:r>
              <w:rPr>
                <w:rFonts w:ascii="Arial" w:hAnsi="Arial"/>
                <w:color w:val="191919"/>
                <w:sz w:val="18"/>
              </w:rPr>
              <w:t>U.S. Physical Therapy, Inc. (2022-Present)</w:t>
            </w:r>
          </w:p>
        </w:tc>
      </w:tr>
      <w:tr>
        <w:trPr/>
        <w:tc>
          <w:tcPr>
            <w:tcW w:w="4217"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5"/>
              </w:rPr>
            </w:pPr>
            <w:r>
              <w:rPr>
                <w:rFonts w:ascii="Arial" w:hAnsi="Arial"/>
                <w:b/>
                <w:color w:val="0A7DAC"/>
                <w:sz w:val="25"/>
              </w:rPr>
              <w:t xml:space="preserve">Age: </w:t>
            </w:r>
            <w:r>
              <w:rPr>
                <w:rFonts w:ascii="Arial" w:hAnsi="Arial"/>
                <w:color w:val="191919"/>
                <w:sz w:val="25"/>
              </w:rPr>
              <w:t>64</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Director Since:</w:t>
            </w:r>
          </w:p>
          <w:p>
            <w:pPr>
              <w:pStyle w:val="TableContents"/>
              <w:bidi w:val="0"/>
              <w:spacing w:before="0" w:after="0"/>
              <w:jc w:val="left"/>
              <w:rPr>
                <w:rFonts w:ascii="Arial" w:hAnsi="Arial"/>
                <w:color w:val="191919"/>
                <w:sz w:val="25"/>
              </w:rPr>
            </w:pPr>
            <w:r>
              <w:rPr>
                <w:rFonts w:ascii="Arial" w:hAnsi="Arial"/>
                <w:color w:val="191919"/>
                <w:sz w:val="25"/>
              </w:rPr>
              <w:t>June 2022</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INDEPENDENT</w:t>
            </w:r>
          </w:p>
          <w:p>
            <w:pPr>
              <w:pStyle w:val="TableContents"/>
              <w:bidi w:val="0"/>
              <w:spacing w:before="0" w:after="0"/>
              <w:jc w:val="left"/>
              <w:rPr/>
            </w:pPr>
            <w:r>
              <w:rPr/>
              <w:t> </w:t>
            </w:r>
          </w:p>
          <w:p>
            <w:pPr>
              <w:pStyle w:val="TableContents"/>
              <w:bidi w:val="0"/>
              <w:spacing w:before="0" w:after="0"/>
              <w:jc w:val="left"/>
              <w:rPr>
                <w:rFonts w:ascii="Arial" w:hAnsi="Arial"/>
                <w:b/>
                <w:color w:val="0A7DAC"/>
                <w:sz w:val="25"/>
              </w:rPr>
            </w:pPr>
            <w:r>
              <w:rPr>
                <w:rFonts w:ascii="Arial" w:hAnsi="Arial"/>
                <w:b/>
                <w:color w:val="0A7DAC"/>
                <w:sz w:val="25"/>
              </w:rPr>
              <w:t>CSW Board Committee(s):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25"/>
              </w:rPr>
            </w:pPr>
            <w:r>
              <w:rPr>
                <w:rFonts w:ascii="Arial" w:hAnsi="Arial"/>
                <w:color w:val="191919"/>
                <w:sz w:val="25"/>
              </w:rPr>
              <w:t>Audit (Chair)</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785"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9" descr=""/>
                          <pic:cNvPicPr>
                            <a:picLocks noChangeAspect="1" noChangeArrowheads="1"/>
                          </pic:cNvPicPr>
                        </pic:nvPicPr>
                        <pic:blipFill>
                          <a:blip r:embed="rId200"/>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Proposal One: Election of Directors </w:t>
      </w:r>
    </w:p>
    <w:p>
      <w:pPr>
        <w:pStyle w:val="TextBody"/>
        <w:bidi w:val="0"/>
        <w:spacing w:before="0" w:after="0"/>
        <w:jc w:val="left"/>
        <w:rPr>
          <w:rFonts w:ascii="Arial" w:hAnsi="Arial"/>
          <w:sz w:val="16"/>
        </w:rPr>
      </w:pPr>
      <w:r>
        <w:rPr>
          <w:rFonts w:ascii="Arial" w:hAnsi="Arial"/>
          <w:sz w:val="16"/>
        </w:rPr>
        <w:t xml:space="preserve">Director Nominees for Election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Director Independence </w:t>
      </w:r>
    </w:p>
    <w:p>
      <w:pPr>
        <w:pStyle w:val="TextBody"/>
        <w:bidi w:val="0"/>
        <w:spacing w:before="240" w:after="0"/>
        <w:jc w:val="left"/>
        <w:rPr>
          <w:rFonts w:ascii="Arial" w:hAnsi="Arial"/>
          <w:color w:val="191919"/>
          <w:sz w:val="18"/>
        </w:rPr>
      </w:pPr>
      <w:r>
        <w:rPr>
          <w:rFonts w:ascii="Arial" w:hAnsi="Arial"/>
          <w:color w:val="191919"/>
          <w:sz w:val="18"/>
        </w:rPr>
        <w:t xml:space="preserve">Our Corporate Governance Guidelines require that a majority of our directors satisfy applicable independence requirements set forth in New York Stock Exchange (the “NYSE”) listing rules and under applicable law. Only those directors who have no material relationship with the Company (except in their role as a director) are deemed independent. The Board has determined that, other than Mr. Armes, who is the Company’s Chairman, CEO and President, each member of the Board meets the independence standards set forth in the applicable rules of the Securities and Exchange Commission (the “SEC”) and the NYSE.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0" descr=""/>
                          <pic:cNvPicPr>
                            <a:picLocks noChangeAspect="1" noChangeArrowheads="1"/>
                          </pic:cNvPicPr>
                        </pic:nvPicPr>
                        <pic:blipFill>
                          <a:blip r:embed="rId20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9" w:name="toc36145_6"/>
      <w:bookmarkEnd w:id="9"/>
      <w:r>
        <w:rPr>
          <w:rFonts w:ascii="Arial" w:hAnsi="Arial"/>
          <w:b/>
          <w:color w:val="0A7DAC"/>
          <w:sz w:val="40"/>
        </w:rPr>
        <w:t xml:space="preserve">Corporate Governance </w:t>
      </w:r>
    </w:p>
    <w:p>
      <w:pPr>
        <w:pStyle w:val="TextBody"/>
        <w:bidi w:val="0"/>
        <w:spacing w:before="240" w:after="0"/>
        <w:jc w:val="left"/>
        <w:rPr>
          <w:rFonts w:ascii="Arial" w:hAnsi="Arial"/>
          <w:b/>
          <w:color w:val="7DB655"/>
          <w:sz w:val="30"/>
        </w:rPr>
      </w:pPr>
      <w:bookmarkStart w:id="10" w:name="toc36145_7"/>
      <w:bookmarkEnd w:id="10"/>
      <w:r>
        <w:rPr>
          <w:rFonts w:ascii="Arial" w:hAnsi="Arial"/>
          <w:b/>
          <w:color w:val="7DB655"/>
          <w:sz w:val="30"/>
        </w:rPr>
        <w:t xml:space="preserve">Governance Highlights </w:t>
      </w:r>
    </w:p>
    <w:p>
      <w:pPr>
        <w:pStyle w:val="TextBody"/>
        <w:bidi w:val="0"/>
        <w:spacing w:before="240" w:after="0"/>
        <w:jc w:val="left"/>
        <w:rPr>
          <w:rFonts w:ascii="Arial" w:hAnsi="Arial"/>
          <w:color w:val="191919"/>
          <w:sz w:val="18"/>
        </w:rPr>
      </w:pPr>
      <w:r>
        <w:rPr>
          <w:rFonts w:ascii="Arial" w:hAnsi="Arial"/>
          <w:color w:val="191919"/>
          <w:sz w:val="18"/>
        </w:rPr>
        <w:t xml:space="preserve">Our Board of Directors is committed to sound governance practices,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19"/>
        <w:gridCol w:w="120"/>
        <w:gridCol w:w="7966"/>
      </w:tblGrid>
      <w:tr>
        <w:trPr/>
        <w:tc>
          <w:tcPr>
            <w:tcW w:w="2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jc w:val="left"/>
              <w:rPr>
                <w:sz w:val="4"/>
                <w:szCs w:val="4"/>
              </w:rPr>
            </w:pPr>
            <w:r>
              <w:rPr>
                <w:sz w:val="4"/>
                <w:szCs w:val="4"/>
              </w:rPr>
            </w:r>
          </w:p>
        </w:tc>
      </w:tr>
      <w:tr>
        <w:trPr/>
        <w:tc>
          <w:tcPr>
            <w:tcW w:w="2119" w:type="dxa"/>
            <w:tcBorders>
              <w:top w:val="single" w:sz="56" w:space="0" w:color="7DB655"/>
            </w:tcBorders>
            <w:tcMar>
              <w:top w:w="28" w:type="dxa"/>
            </w:tcMar>
            <w:vAlign w:val="center"/>
          </w:tcPr>
          <w:p>
            <w:pPr>
              <w:pStyle w:val="TableContents"/>
              <w:bidi w:val="0"/>
              <w:spacing w:before="0" w:after="283"/>
              <w:jc w:val="left"/>
              <w:rPr/>
            </w:pPr>
            <w:r>
              <w:rPr/>
              <w:t> </w:t>
            </w:r>
          </w:p>
        </w:tc>
        <w:tc>
          <w:tcPr>
            <w:tcW w:w="8086" w:type="dxa"/>
            <w:gridSpan w:val="2"/>
            <w:tcBorders>
              <w:top w:val="single" w:sz="56" w:space="0" w:color="7DB655"/>
            </w:tcBorders>
            <w:tcMar>
              <w:top w:w="28" w:type="dxa"/>
            </w:tcMar>
            <w:vAlign w:val="center"/>
          </w:tcPr>
          <w:p>
            <w:pPr>
              <w:pStyle w:val="TableContents"/>
              <w:bidi w:val="0"/>
              <w:spacing w:before="0" w:after="283"/>
              <w:jc w:val="left"/>
              <w:rPr/>
            </w:pPr>
            <w:r>
              <w:rPr/>
              <w:t> </w:t>
            </w:r>
          </w:p>
        </w:tc>
      </w:tr>
      <w:tr>
        <w:trPr/>
        <w:tc>
          <w:tcPr>
            <w:tcW w:w="2119" w:type="dxa"/>
            <w:tcBorders/>
            <w:vAlign w:val="center"/>
          </w:tcPr>
          <w:p>
            <w:pPr>
              <w:pStyle w:val="TableContents"/>
              <w:bidi w:val="0"/>
              <w:spacing w:before="0" w:after="20"/>
              <w:jc w:val="left"/>
              <w:rPr>
                <w:color w:val="191919"/>
              </w:rPr>
            </w:pPr>
            <w:r>
              <w:rPr>
                <w:color w:val="191919"/>
              </w:rPr>
              <w:t> </w:t>
            </w:r>
            <w:r>
              <w:rPr>
                <w:rFonts w:ascii="Arial" w:hAnsi="Arial"/>
                <w:b/>
                <w:color w:val="191919"/>
                <w:sz w:val="16"/>
              </w:rPr>
              <w:t>Director Independence</w:t>
            </w:r>
          </w:p>
        </w:tc>
        <w:tc>
          <w:tcPr>
            <w:tcW w:w="120" w:type="dxa"/>
            <w:tcBorders/>
            <w:vAlign w:val="center"/>
          </w:tcPr>
          <w:p>
            <w:pPr>
              <w:pStyle w:val="TableContents"/>
              <w:bidi w:val="0"/>
              <w:spacing w:before="0" w:after="283"/>
              <w:jc w:val="left"/>
              <w:rPr/>
            </w:pPr>
            <w:r>
              <w:rPr/>
              <w:t>  </w:t>
            </w:r>
          </w:p>
        </w:tc>
        <w:tc>
          <w:tcPr>
            <w:tcW w:w="7966" w:type="dxa"/>
            <w:tcBorders/>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Six of our seven director nominees are independent</w:t>
            </w:r>
          </w:p>
          <w:p>
            <w:pPr>
              <w:pStyle w:val="TableContents"/>
              <w:bidi w:val="0"/>
              <w:spacing w:before="0" w:after="0"/>
              <w:jc w:val="left"/>
              <w:rPr/>
            </w:pPr>
            <w:r>
              <w:rPr/>
              <w:t> </w:t>
            </w:r>
          </w:p>
          <w:p>
            <w:pPr>
              <w:pStyle w:val="TableContents"/>
              <w:bidi w:val="0"/>
              <w:spacing w:before="0" w:after="20"/>
              <w:jc w:val="left"/>
              <w:rPr>
                <w:color w:val="191919"/>
              </w:rPr>
            </w:pPr>
            <w:r>
              <w:rPr>
                <w:color w:val="228AB4"/>
              </w:rPr>
              <w:t>•</w:t>
            </w:r>
            <w:r>
              <w:rPr>
                <w:color w:val="191919"/>
              </w:rPr>
              <w:t>  </w:t>
            </w:r>
            <w:r>
              <w:rPr>
                <w:rFonts w:ascii="Arial" w:hAnsi="Arial"/>
                <w:color w:val="191919"/>
                <w:sz w:val="17"/>
              </w:rPr>
              <w:t>Our CEO is our only management director</w:t>
            </w:r>
          </w:p>
        </w:tc>
      </w:tr>
      <w:tr>
        <w:trPr/>
        <w:tc>
          <w:tcPr>
            <w:tcW w:w="2119" w:type="dxa"/>
            <w:tcBorders/>
            <w:shd w:fill="EDEDED" w:val="clear"/>
            <w:vAlign w:val="center"/>
          </w:tcPr>
          <w:p>
            <w:pPr>
              <w:pStyle w:val="TableContents"/>
              <w:bidi w:val="0"/>
              <w:spacing w:before="0" w:after="283"/>
              <w:jc w:val="left"/>
              <w:rPr>
                <w:sz w:val="4"/>
                <w:szCs w:val="4"/>
              </w:rPr>
            </w:pPr>
            <w:r>
              <w:rPr>
                <w:sz w:val="4"/>
                <w:szCs w:val="4"/>
              </w:rPr>
            </w:r>
          </w:p>
        </w:tc>
        <w:tc>
          <w:tcPr>
            <w:tcW w:w="8086"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119" w:type="dxa"/>
            <w:tcBorders/>
            <w:shd w:fill="EDEDED" w:val="clear"/>
            <w:vAlign w:val="center"/>
          </w:tcPr>
          <w:p>
            <w:pPr>
              <w:pStyle w:val="TableContents"/>
              <w:bidi w:val="0"/>
              <w:spacing w:before="0" w:after="283"/>
              <w:jc w:val="left"/>
              <w:rPr>
                <w:color w:val="191919"/>
              </w:rPr>
            </w:pPr>
            <w:r>
              <w:rPr>
                <w:color w:val="191919"/>
              </w:rPr>
              <w:t> </w:t>
            </w:r>
            <w:r>
              <w:rPr>
                <w:b/>
                <w:color w:val="191919"/>
              </w:rPr>
              <w:t>Board Composition</w:t>
            </w:r>
          </w:p>
        </w:tc>
        <w:tc>
          <w:tcPr>
            <w:tcW w:w="120" w:type="dxa"/>
            <w:tcBorders/>
            <w:shd w:fill="EDEDED" w:val="clear"/>
            <w:vAlign w:val="center"/>
          </w:tcPr>
          <w:p>
            <w:pPr>
              <w:pStyle w:val="TableContents"/>
              <w:bidi w:val="0"/>
              <w:spacing w:before="0" w:after="283"/>
              <w:jc w:val="left"/>
              <w:rPr/>
            </w:pPr>
            <w:r>
              <w:rPr/>
              <w:t>  </w:t>
            </w:r>
          </w:p>
        </w:tc>
        <w:tc>
          <w:tcPr>
            <w:tcW w:w="7966" w:type="dxa"/>
            <w:tcBorders/>
            <w:shd w:fill="EDEDED" w:val="clear"/>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All Board members are elected annually</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The Board annually assesses and evaluates its performance and the performance of its committees</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The Nominating &amp; Corporate Governance Committee leads the Board in considering board member competencies in light of Company strategy</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Our Corporate Governance Guidelines maintain an age-based retirement limit for directors at age 73</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Our directors have a diverse mix of backgrounds, qualifications, skills, and experiences that we believe contribute to a well-rounded Board that is positioned to effectively oversee our strategy</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43% of our director nominees are female and/or diverse</w:t>
            </w:r>
          </w:p>
          <w:p>
            <w:pPr>
              <w:pStyle w:val="TableContents"/>
              <w:bidi w:val="0"/>
              <w:spacing w:before="0" w:after="20"/>
              <w:jc w:val="left"/>
              <w:rPr/>
            </w:pPr>
            <w:r>
              <w:rPr/>
              <w:t> </w:t>
            </w:r>
          </w:p>
        </w:tc>
      </w:tr>
      <w:tr>
        <w:trPr/>
        <w:tc>
          <w:tcPr>
            <w:tcW w:w="2119" w:type="dxa"/>
            <w:tcBorders/>
            <w:vAlign w:val="center"/>
          </w:tcPr>
          <w:p>
            <w:pPr>
              <w:pStyle w:val="TableContents"/>
              <w:bidi w:val="0"/>
              <w:spacing w:before="0" w:after="283"/>
              <w:jc w:val="left"/>
              <w:rPr>
                <w:sz w:val="4"/>
                <w:szCs w:val="4"/>
              </w:rPr>
            </w:pPr>
            <w:r>
              <w:rPr>
                <w:sz w:val="4"/>
                <w:szCs w:val="4"/>
              </w:rPr>
            </w:r>
          </w:p>
        </w:tc>
        <w:tc>
          <w:tcPr>
            <w:tcW w:w="8086"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center"/>
          </w:tcPr>
          <w:p>
            <w:pPr>
              <w:pStyle w:val="TableContents"/>
              <w:bidi w:val="0"/>
              <w:spacing w:before="0" w:after="283"/>
              <w:jc w:val="left"/>
              <w:rPr>
                <w:color w:val="191919"/>
              </w:rPr>
            </w:pPr>
            <w:r>
              <w:rPr>
                <w:color w:val="191919"/>
              </w:rPr>
              <w:t> </w:t>
            </w:r>
            <w:r>
              <w:rPr>
                <w:b/>
                <w:color w:val="191919"/>
              </w:rPr>
              <w:t>Board Committees</w:t>
            </w:r>
          </w:p>
        </w:tc>
        <w:tc>
          <w:tcPr>
            <w:tcW w:w="120" w:type="dxa"/>
            <w:tcBorders/>
            <w:vAlign w:val="center"/>
          </w:tcPr>
          <w:p>
            <w:pPr>
              <w:pStyle w:val="TableContents"/>
              <w:bidi w:val="0"/>
              <w:spacing w:before="0" w:after="283"/>
              <w:jc w:val="left"/>
              <w:rPr/>
            </w:pPr>
            <w:r>
              <w:rPr/>
              <w:t>  </w:t>
            </w:r>
          </w:p>
        </w:tc>
        <w:tc>
          <w:tcPr>
            <w:tcW w:w="7966" w:type="dxa"/>
            <w:tcBorders/>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We have three committees – Audit; Compensation &amp; Talent Development; and Nominating &amp; Corporate Governance</w:t>
            </w:r>
          </w:p>
          <w:p>
            <w:pPr>
              <w:pStyle w:val="TableContents"/>
              <w:bidi w:val="0"/>
              <w:spacing w:before="0" w:after="0"/>
              <w:jc w:val="left"/>
              <w:rPr/>
            </w:pPr>
            <w:r>
              <w:rPr/>
              <w:t> </w:t>
            </w:r>
          </w:p>
          <w:p>
            <w:pPr>
              <w:pStyle w:val="TableContents"/>
              <w:bidi w:val="0"/>
              <w:spacing w:before="0" w:after="20"/>
              <w:jc w:val="left"/>
              <w:rPr>
                <w:color w:val="191919"/>
              </w:rPr>
            </w:pPr>
            <w:r>
              <w:rPr>
                <w:color w:val="228AB4"/>
              </w:rPr>
              <w:t>•</w:t>
            </w:r>
            <w:r>
              <w:rPr>
                <w:color w:val="191919"/>
              </w:rPr>
              <w:t>  </w:t>
            </w:r>
            <w:r>
              <w:rPr>
                <w:rFonts w:ascii="Arial" w:hAnsi="Arial"/>
                <w:color w:val="191919"/>
                <w:sz w:val="17"/>
              </w:rPr>
              <w:t>All committees are composed entirely of independent directors</w:t>
            </w:r>
          </w:p>
        </w:tc>
      </w:tr>
      <w:tr>
        <w:trPr/>
        <w:tc>
          <w:tcPr>
            <w:tcW w:w="2119" w:type="dxa"/>
            <w:tcBorders/>
            <w:shd w:fill="EDEDED" w:val="clear"/>
            <w:vAlign w:val="center"/>
          </w:tcPr>
          <w:p>
            <w:pPr>
              <w:pStyle w:val="TableContents"/>
              <w:bidi w:val="0"/>
              <w:spacing w:before="0" w:after="283"/>
              <w:jc w:val="left"/>
              <w:rPr>
                <w:sz w:val="4"/>
                <w:szCs w:val="4"/>
              </w:rPr>
            </w:pPr>
            <w:r>
              <w:rPr>
                <w:sz w:val="4"/>
                <w:szCs w:val="4"/>
              </w:rPr>
            </w:r>
          </w:p>
        </w:tc>
        <w:tc>
          <w:tcPr>
            <w:tcW w:w="8086"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119" w:type="dxa"/>
            <w:tcBorders/>
            <w:shd w:fill="EDEDED" w:val="clear"/>
            <w:vAlign w:val="center"/>
          </w:tcPr>
          <w:p>
            <w:pPr>
              <w:pStyle w:val="TableContents"/>
              <w:bidi w:val="0"/>
              <w:spacing w:before="0" w:after="283"/>
              <w:jc w:val="left"/>
              <w:rPr>
                <w:color w:val="191919"/>
              </w:rPr>
            </w:pPr>
            <w:r>
              <w:rPr>
                <w:color w:val="191919"/>
              </w:rPr>
              <w:t> </w:t>
            </w:r>
            <w:r>
              <w:rPr>
                <w:b/>
                <w:color w:val="191919"/>
              </w:rPr>
              <w:t>Leadership Structure</w:t>
            </w:r>
          </w:p>
        </w:tc>
        <w:tc>
          <w:tcPr>
            <w:tcW w:w="120" w:type="dxa"/>
            <w:tcBorders/>
            <w:shd w:fill="EDEDED" w:val="clear"/>
            <w:vAlign w:val="center"/>
          </w:tcPr>
          <w:p>
            <w:pPr>
              <w:pStyle w:val="TableContents"/>
              <w:bidi w:val="0"/>
              <w:spacing w:before="0" w:after="283"/>
              <w:jc w:val="left"/>
              <w:rPr/>
            </w:pPr>
            <w:r>
              <w:rPr/>
              <w:t>  </w:t>
            </w:r>
          </w:p>
        </w:tc>
        <w:tc>
          <w:tcPr>
            <w:tcW w:w="7966" w:type="dxa"/>
            <w:tcBorders/>
            <w:shd w:fill="EDEDED" w:val="clear"/>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Our Board has a Lead Independent Director who works closely with our Chairman, CEO and President in fulfilling responsibilities and duties</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Our Lead Independent Director chairs executive sessions of the independent directors, among other duties</w:t>
            </w:r>
          </w:p>
          <w:p>
            <w:pPr>
              <w:pStyle w:val="TableContents"/>
              <w:bidi w:val="0"/>
              <w:spacing w:before="0" w:after="20"/>
              <w:jc w:val="left"/>
              <w:rPr/>
            </w:pPr>
            <w:r>
              <w:rPr/>
              <w:t> </w:t>
            </w:r>
          </w:p>
        </w:tc>
      </w:tr>
      <w:tr>
        <w:trPr/>
        <w:tc>
          <w:tcPr>
            <w:tcW w:w="2119" w:type="dxa"/>
            <w:tcBorders/>
            <w:vAlign w:val="center"/>
          </w:tcPr>
          <w:p>
            <w:pPr>
              <w:pStyle w:val="TableContents"/>
              <w:bidi w:val="0"/>
              <w:spacing w:before="0" w:after="283"/>
              <w:jc w:val="left"/>
              <w:rPr>
                <w:sz w:val="4"/>
                <w:szCs w:val="4"/>
              </w:rPr>
            </w:pPr>
            <w:r>
              <w:rPr>
                <w:sz w:val="4"/>
                <w:szCs w:val="4"/>
              </w:rPr>
            </w:r>
          </w:p>
        </w:tc>
        <w:tc>
          <w:tcPr>
            <w:tcW w:w="8086"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center"/>
          </w:tcPr>
          <w:p>
            <w:pPr>
              <w:pStyle w:val="TableContents"/>
              <w:bidi w:val="0"/>
              <w:spacing w:before="0" w:after="0"/>
              <w:jc w:val="left"/>
              <w:rPr>
                <w:color w:val="191919"/>
              </w:rPr>
            </w:pPr>
            <w:r>
              <w:rPr>
                <w:color w:val="191919"/>
              </w:rPr>
              <w:t> </w:t>
            </w:r>
            <w:r>
              <w:rPr>
                <w:rFonts w:ascii="Arial" w:hAnsi="Arial"/>
                <w:b/>
                <w:color w:val="191919"/>
                <w:sz w:val="16"/>
              </w:rPr>
              <w:t>Environmental,</w:t>
            </w:r>
          </w:p>
          <w:p>
            <w:pPr>
              <w:pStyle w:val="TableContents"/>
              <w:bidi w:val="0"/>
              <w:spacing w:before="0" w:after="0"/>
              <w:jc w:val="left"/>
              <w:rPr>
                <w:color w:val="191919"/>
              </w:rPr>
            </w:pPr>
            <w:r>
              <w:rPr>
                <w:color w:val="191919"/>
              </w:rPr>
              <w:t> </w:t>
            </w:r>
            <w:r>
              <w:rPr>
                <w:rFonts w:ascii="Arial" w:hAnsi="Arial"/>
                <w:b/>
                <w:color w:val="191919"/>
                <w:sz w:val="16"/>
              </w:rPr>
              <w:t>Social &amp; Governance</w:t>
            </w:r>
          </w:p>
          <w:p>
            <w:pPr>
              <w:pStyle w:val="TableContents"/>
              <w:bidi w:val="0"/>
              <w:spacing w:before="0" w:after="0"/>
              <w:jc w:val="left"/>
              <w:rPr>
                <w:color w:val="191919"/>
              </w:rPr>
            </w:pPr>
            <w:r>
              <w:rPr>
                <w:color w:val="191919"/>
              </w:rPr>
              <w:t> </w:t>
            </w:r>
            <w:r>
              <w:rPr>
                <w:rFonts w:ascii="Arial" w:hAnsi="Arial"/>
                <w:b/>
                <w:color w:val="191919"/>
                <w:sz w:val="16"/>
              </w:rPr>
              <w:t>Oversight</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7966" w:type="dxa"/>
            <w:tcBorders/>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Our Nominating &amp; Corporate Governance Committee oversees our Environmental, Social &amp; Governance (“ESG”) Program</w:t>
            </w:r>
          </w:p>
          <w:p>
            <w:pPr>
              <w:pStyle w:val="TableContents"/>
              <w:bidi w:val="0"/>
              <w:spacing w:before="0" w:after="20"/>
              <w:jc w:val="left"/>
              <w:rPr/>
            </w:pPr>
            <w:r>
              <w:rPr/>
              <w:t> </w:t>
            </w:r>
          </w:p>
        </w:tc>
      </w:tr>
      <w:tr>
        <w:trPr/>
        <w:tc>
          <w:tcPr>
            <w:tcW w:w="2119" w:type="dxa"/>
            <w:tcBorders/>
            <w:shd w:fill="EDEDED" w:val="clear"/>
            <w:vAlign w:val="center"/>
          </w:tcPr>
          <w:p>
            <w:pPr>
              <w:pStyle w:val="TableContents"/>
              <w:bidi w:val="0"/>
              <w:spacing w:before="0" w:after="283"/>
              <w:jc w:val="left"/>
              <w:rPr>
                <w:sz w:val="4"/>
                <w:szCs w:val="4"/>
              </w:rPr>
            </w:pPr>
            <w:r>
              <w:rPr>
                <w:sz w:val="4"/>
                <w:szCs w:val="4"/>
              </w:rPr>
            </w:r>
          </w:p>
        </w:tc>
        <w:tc>
          <w:tcPr>
            <w:tcW w:w="8086"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119" w:type="dxa"/>
            <w:tcBorders/>
            <w:shd w:fill="EDEDED" w:val="clear"/>
            <w:vAlign w:val="center"/>
          </w:tcPr>
          <w:p>
            <w:pPr>
              <w:pStyle w:val="TableContents"/>
              <w:bidi w:val="0"/>
              <w:spacing w:before="0" w:after="283"/>
              <w:jc w:val="left"/>
              <w:rPr>
                <w:color w:val="191919"/>
              </w:rPr>
            </w:pPr>
            <w:r>
              <w:rPr>
                <w:color w:val="191919"/>
              </w:rPr>
              <w:t> </w:t>
            </w:r>
            <w:r>
              <w:rPr>
                <w:b/>
                <w:color w:val="191919"/>
              </w:rPr>
              <w:t>Risk Oversight</w:t>
            </w:r>
          </w:p>
        </w:tc>
        <w:tc>
          <w:tcPr>
            <w:tcW w:w="120" w:type="dxa"/>
            <w:tcBorders/>
            <w:shd w:fill="EDEDED" w:val="clear"/>
            <w:vAlign w:val="center"/>
          </w:tcPr>
          <w:p>
            <w:pPr>
              <w:pStyle w:val="TableContents"/>
              <w:bidi w:val="0"/>
              <w:spacing w:before="0" w:after="283"/>
              <w:jc w:val="left"/>
              <w:rPr/>
            </w:pPr>
            <w:r>
              <w:rPr/>
              <w:t>  </w:t>
            </w:r>
          </w:p>
        </w:tc>
        <w:tc>
          <w:tcPr>
            <w:tcW w:w="7966" w:type="dxa"/>
            <w:tcBorders/>
            <w:shd w:fill="EDEDED" w:val="clear"/>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Our Board is responsible for enterprise risk oversight and has committees designated to oversee specific key risks</w:t>
            </w:r>
          </w:p>
          <w:p>
            <w:pPr>
              <w:pStyle w:val="TableContents"/>
              <w:bidi w:val="0"/>
              <w:spacing w:before="0" w:after="0"/>
              <w:jc w:val="left"/>
              <w:rPr/>
            </w:pPr>
            <w:r>
              <w:rPr/>
              <w:t> </w:t>
            </w:r>
          </w:p>
          <w:p>
            <w:pPr>
              <w:pStyle w:val="TableContents"/>
              <w:bidi w:val="0"/>
              <w:spacing w:before="0" w:after="0"/>
              <w:jc w:val="left"/>
              <w:rPr>
                <w:color w:val="191919"/>
              </w:rPr>
            </w:pPr>
            <w:r>
              <w:rPr>
                <w:color w:val="228AB4"/>
              </w:rPr>
              <w:t>•</w:t>
            </w:r>
            <w:r>
              <w:rPr>
                <w:color w:val="191919"/>
              </w:rPr>
              <w:t>  </w:t>
            </w:r>
            <w:r>
              <w:rPr>
                <w:rFonts w:ascii="Arial" w:hAnsi="Arial"/>
                <w:color w:val="191919"/>
                <w:sz w:val="17"/>
              </w:rPr>
              <w:t>Our Audit Committee oversees administration of the Company’s Enterprise Risk Management (“ERM”) Program for the assessment and mitigation of key risks</w:t>
            </w:r>
          </w:p>
          <w:p>
            <w:pPr>
              <w:pStyle w:val="TableContents"/>
              <w:bidi w:val="0"/>
              <w:spacing w:before="0" w:after="20"/>
              <w:jc w:val="left"/>
              <w:rPr/>
            </w:pPr>
            <w:r>
              <w:rPr/>
              <w:t> </w:t>
            </w:r>
          </w:p>
        </w:tc>
      </w:tr>
      <w:tr>
        <w:trPr/>
        <w:tc>
          <w:tcPr>
            <w:tcW w:w="2119" w:type="dxa"/>
            <w:tcBorders/>
            <w:vAlign w:val="center"/>
          </w:tcPr>
          <w:p>
            <w:pPr>
              <w:pStyle w:val="TableContents"/>
              <w:bidi w:val="0"/>
              <w:spacing w:before="0" w:after="283"/>
              <w:jc w:val="left"/>
              <w:rPr>
                <w:sz w:val="4"/>
                <w:szCs w:val="4"/>
              </w:rPr>
            </w:pPr>
            <w:r>
              <w:rPr>
                <w:sz w:val="4"/>
                <w:szCs w:val="4"/>
              </w:rPr>
            </w:r>
          </w:p>
        </w:tc>
        <w:tc>
          <w:tcPr>
            <w:tcW w:w="8086"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center"/>
          </w:tcPr>
          <w:p>
            <w:pPr>
              <w:pStyle w:val="TableContents"/>
              <w:bidi w:val="0"/>
              <w:spacing w:before="0" w:after="283"/>
              <w:jc w:val="left"/>
              <w:rPr>
                <w:color w:val="191919"/>
              </w:rPr>
            </w:pPr>
            <w:r>
              <w:rPr>
                <w:color w:val="191919"/>
              </w:rPr>
              <w:t> </w:t>
            </w:r>
            <w:r>
              <w:rPr>
                <w:b/>
                <w:color w:val="191919"/>
              </w:rPr>
              <w:t>Open Communication</w:t>
            </w:r>
          </w:p>
        </w:tc>
        <w:tc>
          <w:tcPr>
            <w:tcW w:w="120" w:type="dxa"/>
            <w:tcBorders/>
            <w:vAlign w:val="center"/>
          </w:tcPr>
          <w:p>
            <w:pPr>
              <w:pStyle w:val="TableContents"/>
              <w:bidi w:val="0"/>
              <w:spacing w:before="0" w:after="283"/>
              <w:jc w:val="left"/>
              <w:rPr/>
            </w:pPr>
            <w:r>
              <w:rPr/>
              <w:t>  </w:t>
            </w:r>
          </w:p>
        </w:tc>
        <w:tc>
          <w:tcPr>
            <w:tcW w:w="7966" w:type="dxa"/>
            <w:tcBorders/>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We encourage open communication and strong working relationships among the Lead Independent Director, Chairman, and other directors</w:t>
            </w:r>
          </w:p>
          <w:p>
            <w:pPr>
              <w:pStyle w:val="TableContents"/>
              <w:bidi w:val="0"/>
              <w:spacing w:before="0" w:after="0"/>
              <w:jc w:val="left"/>
              <w:rPr/>
            </w:pPr>
            <w:r>
              <w:rPr/>
              <w:t> </w:t>
            </w:r>
          </w:p>
          <w:p>
            <w:pPr>
              <w:pStyle w:val="TableContents"/>
              <w:bidi w:val="0"/>
              <w:spacing w:before="0" w:after="20"/>
              <w:jc w:val="left"/>
              <w:rPr>
                <w:color w:val="191919"/>
              </w:rPr>
            </w:pPr>
            <w:r>
              <w:rPr>
                <w:color w:val="228AB4"/>
              </w:rPr>
              <w:t>•</w:t>
            </w:r>
            <w:r>
              <w:rPr>
                <w:color w:val="191919"/>
              </w:rPr>
              <w:t>  </w:t>
            </w:r>
            <w:r>
              <w:rPr>
                <w:rFonts w:ascii="Arial" w:hAnsi="Arial"/>
                <w:color w:val="191919"/>
                <w:sz w:val="17"/>
              </w:rPr>
              <w:t>Our directors have direct and unrestricted access to management and other employees</w:t>
            </w:r>
          </w:p>
        </w:tc>
      </w:tr>
      <w:tr>
        <w:trPr/>
        <w:tc>
          <w:tcPr>
            <w:tcW w:w="2119" w:type="dxa"/>
            <w:tcBorders/>
            <w:shd w:fill="EDEDED" w:val="clear"/>
            <w:vAlign w:val="center"/>
          </w:tcPr>
          <w:p>
            <w:pPr>
              <w:pStyle w:val="TableContents"/>
              <w:bidi w:val="0"/>
              <w:spacing w:before="0" w:after="283"/>
              <w:jc w:val="left"/>
              <w:rPr>
                <w:sz w:val="4"/>
                <w:szCs w:val="4"/>
              </w:rPr>
            </w:pPr>
            <w:r>
              <w:rPr>
                <w:sz w:val="4"/>
                <w:szCs w:val="4"/>
              </w:rPr>
            </w:r>
          </w:p>
        </w:tc>
        <w:tc>
          <w:tcPr>
            <w:tcW w:w="8086"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119" w:type="dxa"/>
            <w:tcBorders>
              <w:bottom w:val="single" w:sz="6" w:space="0" w:color="7DB655"/>
            </w:tcBorders>
            <w:shd w:fill="EDEDED" w:val="clear"/>
            <w:tcMar>
              <w:bottom w:w="28" w:type="dxa"/>
            </w:tcMar>
            <w:vAlign w:val="center"/>
          </w:tcPr>
          <w:p>
            <w:pPr>
              <w:pStyle w:val="TableContents"/>
              <w:bidi w:val="0"/>
              <w:spacing w:before="0" w:after="283"/>
              <w:jc w:val="left"/>
              <w:rPr>
                <w:color w:val="191919"/>
              </w:rPr>
            </w:pPr>
            <w:r>
              <w:rPr>
                <w:color w:val="191919"/>
              </w:rPr>
              <w:t> </w:t>
            </w:r>
            <w:r>
              <w:rPr>
                <w:b/>
                <w:color w:val="191919"/>
              </w:rPr>
              <w:t>Stock Ownership</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7966" w:type="dxa"/>
            <w:tcBorders>
              <w:bottom w:val="single" w:sz="6" w:space="0" w:color="7DB655"/>
            </w:tcBorders>
            <w:shd w:fill="EDEDED" w:val="clear"/>
            <w:tcMar>
              <w:bottom w:w="28" w:type="dxa"/>
            </w:tcMar>
            <w:vAlign w:val="center"/>
          </w:tcPr>
          <w:p>
            <w:pPr>
              <w:pStyle w:val="TableContents"/>
              <w:bidi w:val="0"/>
              <w:spacing w:before="0" w:after="0"/>
              <w:jc w:val="left"/>
              <w:rPr>
                <w:color w:val="191919"/>
              </w:rPr>
            </w:pPr>
            <w:r>
              <w:rPr>
                <w:color w:val="228AB4"/>
              </w:rPr>
              <w:t>•</w:t>
            </w:r>
            <w:r>
              <w:rPr>
                <w:color w:val="191919"/>
              </w:rPr>
              <w:t>  </w:t>
            </w:r>
            <w:r>
              <w:rPr>
                <w:rFonts w:ascii="Arial" w:hAnsi="Arial"/>
                <w:color w:val="191919"/>
                <w:sz w:val="17"/>
              </w:rPr>
              <w:t>Our directors and executive officers are subject to robust stock ownership requirements</w:t>
            </w:r>
          </w:p>
          <w:p>
            <w:pPr>
              <w:pStyle w:val="TableContents"/>
              <w:bidi w:val="0"/>
              <w:spacing w:before="0" w:after="20"/>
              <w:jc w:val="left"/>
              <w:rPr/>
            </w:pPr>
            <w:r>
              <w:rPr/>
              <w:t> </w:t>
            </w:r>
          </w:p>
        </w:tc>
      </w:tr>
    </w:tbl>
    <w:p>
      <w:pPr>
        <w:pStyle w:val="TextBody"/>
        <w:bidi w:val="0"/>
        <w:spacing w:before="360" w:after="0"/>
        <w:jc w:val="left"/>
        <w:rPr>
          <w:rFonts w:ascii="Arial" w:hAnsi="Arial"/>
          <w:b/>
          <w:color w:val="7DB655"/>
          <w:sz w:val="30"/>
        </w:rPr>
      </w:pPr>
      <w:bookmarkStart w:id="11" w:name="toc36145_8"/>
      <w:bookmarkEnd w:id="11"/>
      <w:r>
        <w:rPr>
          <w:rFonts w:ascii="Arial" w:hAnsi="Arial"/>
          <w:b/>
          <w:color w:val="7DB655"/>
          <w:sz w:val="30"/>
        </w:rPr>
        <w:t xml:space="preserve">Board and Committee Structure </w:t>
      </w:r>
    </w:p>
    <w:p>
      <w:pPr>
        <w:pStyle w:val="TextBody"/>
        <w:bidi w:val="0"/>
        <w:spacing w:before="240" w:after="0"/>
        <w:jc w:val="left"/>
        <w:rPr>
          <w:rFonts w:ascii="Arial" w:hAnsi="Arial"/>
          <w:b/>
          <w:color w:val="191919"/>
          <w:sz w:val="26"/>
        </w:rPr>
      </w:pPr>
      <w:r>
        <w:rPr>
          <w:rFonts w:ascii="Arial" w:hAnsi="Arial"/>
          <w:b/>
          <w:color w:val="191919"/>
          <w:sz w:val="26"/>
        </w:rPr>
        <w:t xml:space="preserve">Board Leadership Structure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3110230" cy="1897380"/>
                <wp:effectExtent l="0" t="0" r="0" b="0"/>
                <wp:wrapSquare wrapText="right"/>
                <wp:docPr id="205" name="Frame5"/>
                <a:graphic xmlns:a="http://schemas.openxmlformats.org/drawingml/2006/main">
                  <a:graphicData uri="http://schemas.microsoft.com/office/word/2010/wordprocessingShape">
                    <wps:wsp>
                      <wps:cNvSpPr txBox="1"/>
                      <wps:spPr>
                        <a:xfrm>
                          <a:off x="0" y="0"/>
                          <a:ext cx="3110230" cy="189738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 Board’s current leadership structure is characterized by: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125"/>
                              <w:gridCol w:w="3950"/>
                            </w:tblGrid>
                            <w:tr>
                              <w:trPr/>
                              <w:tc>
                                <w:tcPr>
                                  <w:tcW w:w="125" w:type="dxa"/>
                                  <w:tcBorders/>
                                  <w:vAlign w:val="center"/>
                                </w:tcPr>
                                <w:p>
                                  <w:pPr>
                                    <w:pStyle w:val="TableContents"/>
                                    <w:bidi w:val="0"/>
                                    <w:spacing w:before="0" w:after="283"/>
                                    <w:jc w:val="left"/>
                                    <w:rPr>
                                      <w:color w:val="0A7DAC"/>
                                    </w:rPr>
                                  </w:pPr>
                                  <w:r>
                                    <w:rPr>
                                      <w:color w:val="0A7DAC"/>
                                    </w:rPr>
                                    <w:t>•</w:t>
                                  </w:r>
                                </w:p>
                              </w:tc>
                              <w:tc>
                                <w:tcPr>
                                  <w:tcW w:w="395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An engaged, qualified, and independent Board;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5"/>
                              <w:gridCol w:w="3785"/>
                            </w:tblGrid>
                            <w:tr>
                              <w:trPr/>
                              <w:tc>
                                <w:tcPr>
                                  <w:tcW w:w="125" w:type="dxa"/>
                                  <w:tcBorders/>
                                  <w:vAlign w:val="center"/>
                                </w:tcPr>
                                <w:p>
                                  <w:pPr>
                                    <w:pStyle w:val="TableContents"/>
                                    <w:bidi w:val="0"/>
                                    <w:spacing w:before="0" w:after="283"/>
                                    <w:jc w:val="left"/>
                                    <w:rPr>
                                      <w:color w:val="0A7DAC"/>
                                    </w:rPr>
                                  </w:pPr>
                                  <w:r>
                                    <w:rPr>
                                      <w:color w:val="0A7DAC"/>
                                    </w:rPr>
                                    <w:t>•</w:t>
                                  </w:r>
                                </w:p>
                              </w:tc>
                              <w:tc>
                                <w:tcPr>
                                  <w:tcW w:w="378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combined Chairman of the Board and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An independent, highly experienced Lead Independent Director with well-defined responsibilities that support and facilitate the Board’s oversight responsibilities; and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9.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 Board’s current leadership structure is characterized by: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125"/>
                        <w:gridCol w:w="3950"/>
                      </w:tblGrid>
                      <w:tr>
                        <w:trPr/>
                        <w:tc>
                          <w:tcPr>
                            <w:tcW w:w="125" w:type="dxa"/>
                            <w:tcBorders/>
                            <w:vAlign w:val="center"/>
                          </w:tcPr>
                          <w:p>
                            <w:pPr>
                              <w:pStyle w:val="TableContents"/>
                              <w:bidi w:val="0"/>
                              <w:spacing w:before="0" w:after="283"/>
                              <w:jc w:val="left"/>
                              <w:rPr>
                                <w:color w:val="0A7DAC"/>
                              </w:rPr>
                            </w:pPr>
                            <w:r>
                              <w:rPr>
                                <w:color w:val="0A7DAC"/>
                              </w:rPr>
                              <w:t>•</w:t>
                            </w:r>
                          </w:p>
                        </w:tc>
                        <w:tc>
                          <w:tcPr>
                            <w:tcW w:w="395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An engaged, qualified, and independent Board;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5"/>
                        <w:gridCol w:w="3785"/>
                      </w:tblGrid>
                      <w:tr>
                        <w:trPr/>
                        <w:tc>
                          <w:tcPr>
                            <w:tcW w:w="125" w:type="dxa"/>
                            <w:tcBorders/>
                            <w:vAlign w:val="center"/>
                          </w:tcPr>
                          <w:p>
                            <w:pPr>
                              <w:pStyle w:val="TableContents"/>
                              <w:bidi w:val="0"/>
                              <w:spacing w:before="0" w:after="283"/>
                              <w:jc w:val="left"/>
                              <w:rPr>
                                <w:color w:val="0A7DAC"/>
                              </w:rPr>
                            </w:pPr>
                            <w:r>
                              <w:rPr>
                                <w:color w:val="0A7DAC"/>
                              </w:rPr>
                              <w:t>•</w:t>
                            </w:r>
                          </w:p>
                        </w:tc>
                        <w:tc>
                          <w:tcPr>
                            <w:tcW w:w="378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combined Chairman of the Board and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An independent, highly experienced Lead Independent Director with well-defined responsibilities that support and facilitate the Board’s oversight responsibilities; and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3175000" cy="880745"/>
                <wp:effectExtent l="0" t="0" r="0" b="0"/>
                <wp:wrapSquare wrapText="right"/>
                <wp:docPr id="206" name="Frame6"/>
                <a:graphic xmlns:a="http://schemas.openxmlformats.org/drawingml/2006/main">
                  <a:graphicData uri="http://schemas.microsoft.com/office/word/2010/wordprocessingShape">
                    <wps:wsp>
                      <wps:cNvSpPr txBox="1"/>
                      <wps:spPr>
                        <a:xfrm>
                          <a:off x="0" y="0"/>
                          <a:ext cx="3175000" cy="88074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strong committee structure consisting entirely of independent directors with well-defined authority and risk oversight responsibilities.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9.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strong committee structure consisting entirely of independent directors with well-defined authority and risk oversight responsibilities.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0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1" descr=""/>
                          <pic:cNvPicPr>
                            <a:picLocks noChangeAspect="1" noChangeArrowheads="1"/>
                          </pic:cNvPicPr>
                        </pic:nvPicPr>
                        <pic:blipFill>
                          <a:blip r:embed="rId20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Corporate Governance </w:t>
      </w:r>
    </w:p>
    <w:p>
      <w:pPr>
        <w:pStyle w:val="TextBody"/>
        <w:bidi w:val="0"/>
        <w:spacing w:before="0" w:after="0"/>
        <w:jc w:val="left"/>
        <w:rPr>
          <w:rFonts w:ascii="Arial" w:hAnsi="Arial"/>
          <w:sz w:val="16"/>
        </w:rPr>
      </w:pPr>
      <w:r>
        <w:rPr>
          <w:rFonts w:ascii="Arial" w:hAnsi="Arial"/>
          <w:sz w:val="16"/>
        </w:rPr>
        <w:t xml:space="preserve">Board and Committee Structure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Dr. Linda Livingstone has served as the Board’s Lead Independent Director since August 2025. The Lead Independent Director serves an important leadership and oversight role by providing input on the Board’s annual schedule and collaborating with the Chairman and CEO on the agendas for all Board meetings. Additionally, the Lead Independent Director provides support and advice to the Chairman and CEO, reinforcing the CEO’s reporting relationship and accountability to the Board. </w:t>
      </w:r>
    </w:p>
    <w:p>
      <w:pPr>
        <w:pStyle w:val="TextBody"/>
        <w:bidi w:val="0"/>
        <w:spacing w:before="240" w:after="0"/>
        <w:jc w:val="left"/>
        <w:rPr>
          <w:rFonts w:ascii="Arial" w:hAnsi="Arial"/>
          <w:color w:val="191919"/>
          <w:sz w:val="18"/>
        </w:rPr>
      </w:pPr>
      <w:r>
        <w:rPr>
          <w:rFonts w:ascii="Arial" w:hAnsi="Arial"/>
          <w:color w:val="191919"/>
          <w:sz w:val="18"/>
        </w:rPr>
        <w:t xml:space="preserve">The Board believes it is important to retain flexibility to allocate the responsibilities of the positions of Chairman of the Board and CEO in a manner that it believes is in the best interests of the Company and its shareholders. The Board does not have a policy mandating that the CEO should or should not also serve as Chairman. Rather, the Board considers this issue as part of the CEO succession planning process, and the decision is based on its evaluation of current circumstances and the needs of the Company at the time it is considering candidates for the CEO role. Based on Mr. Armes’ significant knowledge of the Company, the Board has concluded that combining the roles of Chairman and CEO, along with the presence of a strong Lead Independent Director, is in the best interests of the Company and its shareholders at this time to promote the pursuit of the Company’s business objectives and strategic growth plans. </w:t>
      </w:r>
    </w:p>
    <w:p>
      <w:pPr>
        <w:pStyle w:val="TextBody"/>
        <w:bidi w:val="0"/>
        <w:spacing w:before="0" w:after="0"/>
        <w:jc w:val="left"/>
        <w:rPr/>
      </w:pPr>
      <w:r>
        <w:rPr/>
        <w:t> </w:t>
      </w:r>
    </w:p>
    <w:tbl>
      <w:tblPr>
        <w:tblW w:w="10205" w:type="dxa"/>
        <w:jc w:val="left"/>
        <w:tblInd w:w="0" w:type="dxa"/>
        <w:shd w:fill="EDEDED" w:val="clear"/>
        <w:tblLayout w:type="fixed"/>
        <w:tblCellMar>
          <w:top w:w="0" w:type="dxa"/>
          <w:left w:w="0" w:type="dxa"/>
          <w:bottom w:w="0" w:type="dxa"/>
          <w:right w:w="0" w:type="dxa"/>
        </w:tblCellMar>
      </w:tblPr>
      <w:tblGrid>
        <w:gridCol w:w="4772"/>
        <w:gridCol w:w="120"/>
        <w:gridCol w:w="5313"/>
      </w:tblGrid>
      <w:tr>
        <w:trPr/>
        <w:tc>
          <w:tcPr>
            <w:tcW w:w="4772"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sz w:val="4"/>
                <w:szCs w:val="4"/>
              </w:rPr>
            </w:pPr>
            <w:r>
              <w:rPr>
                <w:sz w:val="4"/>
                <w:szCs w:val="4"/>
              </w:rPr>
            </w:r>
          </w:p>
        </w:tc>
        <w:tc>
          <w:tcPr>
            <w:tcW w:w="5313" w:type="dxa"/>
            <w:tcBorders/>
            <w:shd w:fill="EDEDE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0A7DAC"/>
                <w:sz w:val="25"/>
              </w:rPr>
            </w:pPr>
            <w:r>
              <w:rPr>
                <w:rFonts w:ascii="Arial" w:hAnsi="Arial"/>
                <w:b/>
                <w:color w:val="0A7DAC"/>
                <w:sz w:val="25"/>
              </w:rPr>
              <w:t>Lead Independent Director Responsibilities</w:t>
            </w:r>
          </w:p>
        </w:tc>
      </w:tr>
      <w:tr>
        <w:trPr/>
        <w:tc>
          <w:tcPr>
            <w:tcW w:w="4772"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Provide leadership to the independent directors</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Provide support and advice to the Chairman and CEO</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Preside over executive sessions of the independent directors</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Chair meetings of the Board in the absence of the Chairman of the Board</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5313"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Collaborate with the Chairman and CEO on Board meeting agendas</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Oversee director recruiting</w:t>
            </w:r>
          </w:p>
          <w:p>
            <w:pPr>
              <w:pStyle w:val="TableContents"/>
              <w:bidi w:val="0"/>
              <w:spacing w:before="0" w:after="20"/>
              <w:jc w:val="left"/>
              <w:rPr>
                <w:color w:val="191919"/>
              </w:rPr>
            </w:pPr>
            <w:r>
              <w:rPr>
                <w:color w:val="0A7DAC"/>
              </w:rPr>
              <w:t>•</w:t>
            </w:r>
            <w:r>
              <w:rPr>
                <w:color w:val="191919"/>
              </w:rPr>
              <w:t>  </w:t>
            </w:r>
            <w:r>
              <w:rPr>
                <w:rFonts w:ascii="Arial" w:hAnsi="Arial"/>
                <w:color w:val="191919"/>
                <w:sz w:val="18"/>
              </w:rPr>
              <w:t>Collaborate with the N&amp;CG Committee on the Board’s self-evaluation processes</w:t>
            </w:r>
          </w:p>
        </w:tc>
      </w:tr>
    </w:tbl>
    <w:p>
      <w:pPr>
        <w:pStyle w:val="TextBody"/>
        <w:bidi w:val="0"/>
        <w:spacing w:before="360" w:after="0"/>
        <w:jc w:val="left"/>
        <w:rPr>
          <w:rFonts w:ascii="Arial" w:hAnsi="Arial"/>
          <w:b/>
          <w:color w:val="191919"/>
          <w:sz w:val="26"/>
        </w:rPr>
      </w:pPr>
      <w:r>
        <w:rPr>
          <w:rFonts w:ascii="Arial" w:hAnsi="Arial"/>
          <w:b/>
          <w:color w:val="191919"/>
          <w:sz w:val="26"/>
        </w:rPr>
        <w:t xml:space="preserve">Board Committees </w:t>
      </w:r>
    </w:p>
    <w:p>
      <w:pPr>
        <w:pStyle w:val="TextBody"/>
        <w:bidi w:val="0"/>
        <w:spacing w:before="240" w:after="0"/>
        <w:jc w:val="left"/>
        <w:rPr>
          <w:rFonts w:ascii="Arial" w:hAnsi="Arial"/>
          <w:color w:val="191919"/>
          <w:sz w:val="18"/>
        </w:rPr>
      </w:pPr>
      <w:r>
        <w:rPr>
          <w:rFonts w:ascii="Arial" w:hAnsi="Arial"/>
          <w:color w:val="191919"/>
          <w:sz w:val="18"/>
        </w:rPr>
        <w:t xml:space="preserve">The Board maintains an Audit Committee, a Compensation &amp; Talent Development Committee (“Compensation Committee”), and an N&amp;CG Committee. Only independent directors are eligible to serve on these standing Board committees. Each committee is governed by a written charter, all of which are available on the Company’s website at </w:t>
      </w:r>
      <w:r>
        <w:rPr>
          <w:rFonts w:ascii="Arial" w:hAnsi="Arial"/>
          <w:b/>
          <w:color w:val="191919"/>
          <w:sz w:val="18"/>
        </w:rPr>
        <w:t>www.csw.com</w:t>
      </w:r>
      <w:r>
        <w:rPr>
          <w:rFonts w:ascii="Arial" w:hAnsi="Arial"/>
          <w:color w:val="191919"/>
          <w:sz w:val="18"/>
        </w:rPr>
        <w:t xml:space="preserve"> under “Investors — Corporate Governance.” </w:t>
      </w:r>
    </w:p>
    <w:p>
      <w:pPr>
        <w:pStyle w:val="TextBody"/>
        <w:bidi w:val="0"/>
        <w:spacing w:before="240" w:after="0"/>
        <w:jc w:val="left"/>
        <w:rPr>
          <w:rFonts w:ascii="Arial" w:hAnsi="Arial"/>
          <w:color w:val="191919"/>
          <w:sz w:val="18"/>
        </w:rPr>
      </w:pPr>
      <w:r>
        <w:rPr>
          <w:rFonts w:ascii="Arial" w:hAnsi="Arial"/>
          <w:color w:val="191919"/>
          <w:sz w:val="18"/>
        </w:rPr>
        <w:t xml:space="preserve">The Board has determined that all members of all committees meet the independence standards of the SEC and the NYSE, including the heightened independence requirements for certain committee members. </w:t>
      </w:r>
    </w:p>
    <w:p>
      <w:pPr>
        <w:pStyle w:val="TextBody"/>
        <w:bidi w:val="0"/>
        <w:spacing w:before="360" w:after="0"/>
        <w:jc w:val="left"/>
        <w:rPr>
          <w:rFonts w:ascii="Arial" w:hAnsi="Arial"/>
          <w:b/>
          <w:color w:val="0A7DAC"/>
          <w:sz w:val="25"/>
        </w:rPr>
      </w:pPr>
      <w:r>
        <w:rPr>
          <w:rFonts w:ascii="Arial" w:hAnsi="Arial"/>
          <w:b/>
          <w:color w:val="0A7DAC"/>
          <w:sz w:val="25"/>
        </w:rPr>
        <w:t xml:space="preserve">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9"/>
        <w:gridCol w:w="120"/>
        <w:gridCol w:w="8026"/>
      </w:tblGrid>
      <w:tr>
        <w:trPr/>
        <w:tc>
          <w:tcPr>
            <w:tcW w:w="2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2059" w:type="dxa"/>
            <w:tcBorders>
              <w:bottom w:val="single" w:sz="6" w:space="0" w:color="7DB655"/>
            </w:tcBorders>
            <w:tcMar>
              <w:bottom w:w="28"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Members and Other Information</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8026" w:type="dxa"/>
            <w:tcBorders>
              <w:bottom w:val="single" w:sz="6" w:space="0" w:color="7DB655"/>
            </w:tcBorders>
            <w:tcMar>
              <w:bottom w:w="28" w:type="dxa"/>
            </w:tcMar>
            <w:vAlign w:val="center"/>
          </w:tcPr>
          <w:p>
            <w:pPr>
              <w:pStyle w:val="TableContents"/>
              <w:bidi w:val="0"/>
              <w:spacing w:before="0" w:after="283"/>
              <w:jc w:val="left"/>
              <w:rPr>
                <w:b/>
                <w:color w:val="191919"/>
              </w:rPr>
            </w:pPr>
            <w:r>
              <w:rPr>
                <w:b/>
                <w:color w:val="191919"/>
              </w:rPr>
              <w:t>Primary Oversight Responsibilities</w:t>
            </w:r>
          </w:p>
        </w:tc>
      </w:tr>
      <w:tr>
        <w:trPr/>
        <w:tc>
          <w:tcPr>
            <w:tcW w:w="2059" w:type="dxa"/>
            <w:tcBorders/>
            <w:vAlign w:val="center"/>
          </w:tcPr>
          <w:p>
            <w:pPr>
              <w:pStyle w:val="TableContents"/>
              <w:bidi w:val="0"/>
              <w:spacing w:before="0" w:after="283"/>
              <w:jc w:val="left"/>
              <w:rPr>
                <w:sz w:val="4"/>
                <w:szCs w:val="4"/>
              </w:rPr>
            </w:pPr>
            <w:r>
              <w:rPr>
                <w:sz w:val="4"/>
                <w:szCs w:val="4"/>
              </w:rPr>
            </w:r>
          </w:p>
        </w:tc>
        <w:tc>
          <w:tcPr>
            <w:tcW w:w="8146" w:type="dxa"/>
            <w:gridSpan w:val="2"/>
            <w:tcBorders/>
            <w:vAlign w:val="center"/>
          </w:tcPr>
          <w:p>
            <w:pPr>
              <w:pStyle w:val="TableContents"/>
              <w:bidi w:val="0"/>
              <w:spacing w:before="0" w:after="283"/>
              <w:jc w:val="left"/>
              <w:rPr>
                <w:sz w:val="4"/>
                <w:szCs w:val="4"/>
              </w:rPr>
            </w:pPr>
            <w:r>
              <w:rPr>
                <w:sz w:val="4"/>
                <w:szCs w:val="4"/>
              </w:rPr>
            </w:r>
          </w:p>
        </w:tc>
      </w:tr>
      <w:tr>
        <w:trPr/>
        <w:tc>
          <w:tcPr>
            <w:tcW w:w="2059" w:type="dxa"/>
            <w:tcBorders/>
            <w:vAlign w:val="center"/>
          </w:tcPr>
          <w:p>
            <w:pPr>
              <w:pStyle w:val="TableContents"/>
              <w:bidi w:val="0"/>
              <w:spacing w:before="0" w:after="0"/>
              <w:jc w:val="left"/>
              <w:rPr>
                <w:rFonts w:ascii="Arial" w:hAnsi="Arial"/>
                <w:b/>
                <w:sz w:val="16"/>
              </w:rPr>
            </w:pPr>
            <w:r>
              <w:rPr>
                <w:rFonts w:ascii="Arial" w:hAnsi="Arial"/>
                <w:b/>
                <w:sz w:val="16"/>
              </w:rPr>
              <w:t>Committee Chair:</w:t>
            </w:r>
          </w:p>
          <w:p>
            <w:pPr>
              <w:pStyle w:val="TableContents"/>
              <w:bidi w:val="0"/>
              <w:spacing w:before="0" w:after="0"/>
              <w:jc w:val="left"/>
              <w:rPr>
                <w:rFonts w:ascii="Arial" w:hAnsi="Arial"/>
                <w:sz w:val="16"/>
              </w:rPr>
            </w:pPr>
            <w:r>
              <w:rPr>
                <w:rFonts w:ascii="Arial" w:hAnsi="Arial"/>
                <w:sz w:val="16"/>
              </w:rPr>
              <w:t>Anne B. Motsenbocker</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Other Members:</w:t>
            </w:r>
          </w:p>
          <w:p>
            <w:pPr>
              <w:pStyle w:val="TableContents"/>
              <w:bidi w:val="0"/>
              <w:spacing w:before="0" w:after="0"/>
              <w:jc w:val="left"/>
              <w:rPr>
                <w:rFonts w:ascii="Arial" w:hAnsi="Arial"/>
                <w:sz w:val="16"/>
              </w:rPr>
            </w:pPr>
            <w:r>
              <w:rPr>
                <w:rFonts w:ascii="Arial" w:hAnsi="Arial"/>
                <w:sz w:val="16"/>
              </w:rPr>
              <w:t>Darron K. Ash</w:t>
            </w:r>
          </w:p>
          <w:p>
            <w:pPr>
              <w:pStyle w:val="TableContents"/>
              <w:bidi w:val="0"/>
              <w:spacing w:before="0" w:after="0"/>
              <w:jc w:val="left"/>
              <w:rPr>
                <w:rFonts w:ascii="Arial" w:hAnsi="Arial"/>
                <w:sz w:val="16"/>
              </w:rPr>
            </w:pPr>
            <w:r>
              <w:rPr>
                <w:rFonts w:ascii="Arial" w:hAnsi="Arial"/>
                <w:sz w:val="16"/>
              </w:rPr>
              <w:t>Terry L. Johnston</w:t>
            </w:r>
          </w:p>
          <w:p>
            <w:pPr>
              <w:pStyle w:val="TableContents"/>
              <w:bidi w:val="0"/>
              <w:spacing w:before="0" w:after="20"/>
              <w:jc w:val="left"/>
              <w:rPr>
                <w:rFonts w:ascii="Arial" w:hAnsi="Arial"/>
                <w:sz w:val="16"/>
              </w:rPr>
            </w:pPr>
            <w:r>
              <w:rPr>
                <w:rFonts w:ascii="Arial" w:hAnsi="Arial"/>
                <w:sz w:val="16"/>
              </w:rPr>
              <w:t>J. Kent Sweezey</w:t>
            </w:r>
          </w:p>
        </w:tc>
        <w:tc>
          <w:tcPr>
            <w:tcW w:w="12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8026" w:type="dxa"/>
            <w:vMerge w:val="restart"/>
            <w:tcBorders>
              <w:bottom w:val="single" w:sz="6" w:space="0" w:color="7DB655"/>
            </w:tcBorders>
            <w:tcMar>
              <w:bottom w:w="28" w:type="dxa"/>
            </w:tcMar>
            <w:vAlign w:val="center"/>
          </w:tcPr>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Engage and oversee, including the qualifications, independence and performance of, the Company’s independent registered public accounting firm</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Approve all audit engagement fees and terms, including all non-audit services, provided by the Company’s independent registered public accounting firm</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the adequacy and integrity of the Company’s financial statements, financial reporting, and disclosures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internal controls matters, which includes information security and cybersecurity risk</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and monitor the performance of the Company’s internal audit function</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the Company’s ethics and compliance program</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management’s administration of the Enterprise Risk Management program</w:t>
            </w:r>
          </w:p>
          <w:p>
            <w:pPr>
              <w:pStyle w:val="TableContents"/>
              <w:bidi w:val="0"/>
              <w:spacing w:lineRule="atLeast" w:line="240" w:before="0" w:after="20"/>
              <w:jc w:val="left"/>
              <w:rPr>
                <w:color w:val="191919"/>
              </w:rPr>
            </w:pPr>
            <w:r>
              <w:rPr>
                <w:color w:val="0A7DAC"/>
              </w:rPr>
              <w:t>•</w:t>
            </w:r>
            <w:r>
              <w:rPr>
                <w:color w:val="191919"/>
              </w:rPr>
              <w:t>  </w:t>
            </w:r>
            <w:r>
              <w:rPr>
                <w:rFonts w:ascii="Arial" w:hAnsi="Arial"/>
                <w:color w:val="191919"/>
                <w:sz w:val="17"/>
              </w:rPr>
              <w:t>Oversee the Company’s compliance with legal and regulatory requirements relating to financial reporting</w:t>
            </w:r>
          </w:p>
        </w:tc>
      </w:tr>
      <w:tr>
        <w:trPr/>
        <w:tc>
          <w:tcPr>
            <w:tcW w:w="2059" w:type="dxa"/>
            <w:tcBorders>
              <w:bottom w:val="single" w:sz="6" w:space="0" w:color="7DB655"/>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5 Meetings in Fiscal 2026</w:t>
            </w:r>
          </w:p>
          <w:p>
            <w:pPr>
              <w:pStyle w:val="TableContents"/>
              <w:bidi w:val="0"/>
              <w:spacing w:before="0" w:after="20"/>
              <w:jc w:val="left"/>
              <w:rPr/>
            </w:pPr>
            <w:r>
              <w:rPr/>
              <w:t> </w:t>
            </w:r>
          </w:p>
        </w:tc>
        <w:tc>
          <w:tcPr>
            <w:tcW w:w="120" w:type="dxa"/>
            <w:vMerge w:val="continue"/>
            <w:tcBorders>
              <w:bottom w:val="single" w:sz="6" w:space="0" w:color="7DB655"/>
            </w:tcBorders>
            <w:tcMar>
              <w:bottom w:w="28" w:type="dxa"/>
            </w:tcMar>
            <w:vAlign w:val="center"/>
          </w:tcPr>
          <w:p>
            <w:pPr>
              <w:pStyle w:val="Normal"/>
              <w:bidi w:val="0"/>
              <w:jc w:val="left"/>
              <w:rPr/>
            </w:pPr>
            <w:r>
              <w:rPr/>
            </w:r>
          </w:p>
        </w:tc>
        <w:tc>
          <w:tcPr>
            <w:tcW w:w="8026" w:type="dxa"/>
            <w:vMerge w:val="continue"/>
            <w:tcBorders>
              <w:bottom w:val="single" w:sz="6" w:space="0" w:color="7DB655"/>
            </w:tcBorders>
            <w:tcMar>
              <w:bottom w:w="28" w:type="dxa"/>
            </w:tcMar>
            <w:vAlign w:val="center"/>
          </w:tcPr>
          <w:p>
            <w:pPr>
              <w:pStyle w:val="Normal"/>
              <w:bidi w:val="0"/>
              <w:jc w:val="left"/>
              <w:rPr/>
            </w:pPr>
            <w:r>
              <w:rPr/>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0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2" descr=""/>
                          <pic:cNvPicPr>
                            <a:picLocks noChangeAspect="1" noChangeArrowheads="1"/>
                          </pic:cNvPicPr>
                        </pic:nvPicPr>
                        <pic:blipFill>
                          <a:blip r:embed="rId20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Corporate Governance </w:t>
      </w:r>
    </w:p>
    <w:p>
      <w:pPr>
        <w:pStyle w:val="TextBody"/>
        <w:bidi w:val="0"/>
        <w:spacing w:before="0" w:after="0"/>
        <w:jc w:val="right"/>
        <w:rPr>
          <w:rFonts w:ascii="Arial" w:hAnsi="Arial"/>
          <w:sz w:val="16"/>
        </w:rPr>
      </w:pPr>
      <w:r>
        <w:rPr>
          <w:rFonts w:ascii="Arial" w:hAnsi="Arial"/>
          <w:sz w:val="16"/>
        </w:rPr>
        <w:t xml:space="preserve">Board and Committee Structure </w:t>
      </w:r>
    </w:p>
    <w:p>
      <w:pPr>
        <w:pStyle w:val="TextBody"/>
        <w:bidi w:val="0"/>
        <w:spacing w:before="0" w:after="0"/>
        <w:jc w:val="left"/>
        <w:rPr/>
      </w:pPr>
      <w:r>
        <w:rPr/>
        <w:t> </w:t>
      </w:r>
    </w:p>
    <w:p>
      <w:pPr>
        <w:pStyle w:val="TextBody"/>
        <w:bidi w:val="0"/>
        <w:spacing w:before="0" w:after="0"/>
        <w:jc w:val="left"/>
        <w:rPr>
          <w:rFonts w:ascii="Arial" w:hAnsi="Arial"/>
          <w:i/>
          <w:color w:val="191919"/>
          <w:sz w:val="18"/>
        </w:rPr>
      </w:pPr>
      <w:r>
        <w:rPr>
          <w:rFonts w:ascii="Arial" w:hAnsi="Arial"/>
          <w:i/>
          <w:color w:val="191919"/>
          <w:sz w:val="18"/>
        </w:rPr>
        <w:t xml:space="preserve">The Board has determined that Ms. Motsenbocker and Mr. Ash qualify as audit committee financial experts under SEC rules. The Board has also determined that all members of the Audit Committee are financially literate within the meaning of the NYSE’s listing standards. </w:t>
      </w:r>
    </w:p>
    <w:p>
      <w:pPr>
        <w:pStyle w:val="TextBody"/>
        <w:bidi w:val="0"/>
        <w:spacing w:before="360" w:after="0"/>
        <w:jc w:val="left"/>
        <w:rPr>
          <w:rFonts w:ascii="Arial" w:hAnsi="Arial"/>
          <w:b/>
          <w:color w:val="0A7DAC"/>
          <w:sz w:val="25"/>
        </w:rPr>
      </w:pPr>
      <w:r>
        <w:rPr>
          <w:rFonts w:ascii="Arial" w:hAnsi="Arial"/>
          <w:b/>
          <w:color w:val="0A7DAC"/>
          <w:sz w:val="25"/>
        </w:rPr>
        <w:t xml:space="preserve">Compensation &amp; Talent Development Committee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2570"/>
        <w:gridCol w:w="120"/>
        <w:gridCol w:w="695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6" w:space="0" w:color="7DB655"/>
            </w:tcBorders>
            <w:tcMar>
              <w:bottom w:w="28"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Members and Other Information</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950" w:type="dxa"/>
            <w:tcBorders>
              <w:bottom w:val="single" w:sz="6" w:space="0" w:color="7DB655"/>
            </w:tcBorders>
            <w:tcMar>
              <w:bottom w:w="28" w:type="dxa"/>
            </w:tcMar>
            <w:vAlign w:val="center"/>
          </w:tcPr>
          <w:p>
            <w:pPr>
              <w:pStyle w:val="TableContents"/>
              <w:bidi w:val="0"/>
              <w:spacing w:before="0" w:after="283"/>
              <w:jc w:val="left"/>
              <w:rPr>
                <w:b/>
                <w:color w:val="191919"/>
              </w:rPr>
            </w:pPr>
            <w:r>
              <w:rPr>
                <w:b/>
                <w:color w:val="191919"/>
              </w:rPr>
              <w:t>Primary Oversight Responsibilities</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sz w:val="16"/>
              </w:rPr>
            </w:pPr>
            <w:r>
              <w:rPr>
                <w:rFonts w:ascii="Arial" w:hAnsi="Arial"/>
                <w:b/>
                <w:sz w:val="16"/>
              </w:rPr>
              <w:t>Committee Chair</w:t>
            </w:r>
            <w:r>
              <w:rPr>
                <w:rFonts w:ascii="Arial" w:hAnsi="Arial"/>
                <w:sz w:val="16"/>
              </w:rPr>
              <w:t>:</w:t>
            </w:r>
          </w:p>
          <w:p>
            <w:pPr>
              <w:pStyle w:val="TableContents"/>
              <w:bidi w:val="0"/>
              <w:spacing w:lineRule="atLeast" w:line="240" w:before="0" w:after="0"/>
              <w:jc w:val="left"/>
              <w:rPr>
                <w:rFonts w:ascii="Arial" w:hAnsi="Arial"/>
                <w:sz w:val="16"/>
              </w:rPr>
            </w:pPr>
            <w:r>
              <w:rPr>
                <w:rFonts w:ascii="Arial" w:hAnsi="Arial"/>
                <w:sz w:val="16"/>
              </w:rPr>
              <w:t>J. Kent Sweezey</w:t>
            </w:r>
          </w:p>
          <w:p>
            <w:pPr>
              <w:pStyle w:val="TableContents"/>
              <w:bidi w:val="0"/>
              <w:spacing w:before="0" w:after="0"/>
              <w:jc w:val="left"/>
              <w:rPr/>
            </w:pPr>
            <w:r>
              <w:rPr/>
              <w:t> </w:t>
            </w:r>
          </w:p>
          <w:p>
            <w:pPr>
              <w:pStyle w:val="TableContents"/>
              <w:bidi w:val="0"/>
              <w:spacing w:lineRule="atLeast" w:line="240" w:before="0" w:after="0"/>
              <w:jc w:val="left"/>
              <w:rPr>
                <w:rFonts w:ascii="Arial" w:hAnsi="Arial"/>
                <w:b/>
                <w:sz w:val="16"/>
              </w:rPr>
            </w:pPr>
            <w:r>
              <w:rPr>
                <w:rFonts w:ascii="Arial" w:hAnsi="Arial"/>
                <w:b/>
                <w:sz w:val="16"/>
              </w:rPr>
              <w:t>Other Members:</w:t>
            </w:r>
          </w:p>
          <w:p>
            <w:pPr>
              <w:pStyle w:val="TableContents"/>
              <w:bidi w:val="0"/>
              <w:spacing w:lineRule="atLeast" w:line="240" w:before="0" w:after="0"/>
              <w:jc w:val="left"/>
              <w:rPr>
                <w:rFonts w:ascii="Arial" w:hAnsi="Arial"/>
                <w:sz w:val="16"/>
              </w:rPr>
            </w:pPr>
            <w:r>
              <w:rPr>
                <w:rFonts w:ascii="Arial" w:hAnsi="Arial"/>
                <w:sz w:val="16"/>
              </w:rPr>
              <w:t>Darron K. Ash</w:t>
            </w:r>
          </w:p>
          <w:p>
            <w:pPr>
              <w:pStyle w:val="TableContents"/>
              <w:bidi w:val="0"/>
              <w:spacing w:lineRule="atLeast" w:line="240" w:before="0" w:after="0"/>
              <w:jc w:val="left"/>
              <w:rPr>
                <w:rFonts w:ascii="Arial" w:hAnsi="Arial"/>
                <w:sz w:val="16"/>
              </w:rPr>
            </w:pPr>
            <w:r>
              <w:rPr>
                <w:rFonts w:ascii="Arial" w:hAnsi="Arial"/>
                <w:sz w:val="16"/>
              </w:rPr>
              <w:t>Bobby Griffin</w:t>
            </w:r>
          </w:p>
          <w:p>
            <w:pPr>
              <w:pStyle w:val="TableContents"/>
              <w:bidi w:val="0"/>
              <w:spacing w:lineRule="atLeast" w:line="240" w:before="0" w:after="0"/>
              <w:jc w:val="left"/>
              <w:rPr>
                <w:rFonts w:ascii="Arial" w:hAnsi="Arial"/>
                <w:sz w:val="16"/>
              </w:rPr>
            </w:pPr>
            <w:r>
              <w:rPr>
                <w:rFonts w:ascii="Arial" w:hAnsi="Arial"/>
                <w:sz w:val="16"/>
              </w:rPr>
              <w:t>Linda A. Livingstone</w:t>
            </w:r>
          </w:p>
          <w:p>
            <w:pPr>
              <w:pStyle w:val="TableContents"/>
              <w:bidi w:val="0"/>
              <w:spacing w:before="0" w:after="0"/>
              <w:jc w:val="left"/>
              <w:rPr/>
            </w:pPr>
            <w:r>
              <w:rPr/>
              <w:t> </w:t>
            </w:r>
          </w:p>
          <w:p>
            <w:pPr>
              <w:pStyle w:val="TableContents"/>
              <w:bidi w:val="0"/>
              <w:spacing w:lineRule="atLeast" w:line="240" w:before="0" w:after="20"/>
              <w:jc w:val="left"/>
              <w:rPr>
                <w:rFonts w:ascii="Arial" w:hAnsi="Arial"/>
                <w:b/>
                <w:sz w:val="16"/>
              </w:rPr>
            </w:pPr>
            <w:r>
              <w:rPr>
                <w:rFonts w:ascii="Arial" w:hAnsi="Arial"/>
                <w:b/>
                <w:sz w:val="16"/>
              </w:rPr>
              <w:t>5 Meetings in Fiscal 2026</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950" w:type="dxa"/>
            <w:tcBorders>
              <w:bottom w:val="single" w:sz="6" w:space="0" w:color="7DB655"/>
            </w:tcBorders>
            <w:tcMar>
              <w:bottom w:w="28" w:type="dxa"/>
            </w:tcMar>
            <w:vAlign w:val="center"/>
          </w:tcPr>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Establish the Company’s executive compensation philosophy and compensation programs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risk management related to the Company’s executive compensation programs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Administer the Company’s equity and incentive compensation plan</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Review executive performance, management succession plans, and talent development</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Administer the Company’s clawback policies</w:t>
            </w:r>
          </w:p>
          <w:p>
            <w:pPr>
              <w:pStyle w:val="TableContents"/>
              <w:bidi w:val="0"/>
              <w:spacing w:lineRule="atLeast" w:line="240" w:before="0" w:after="20"/>
              <w:jc w:val="left"/>
              <w:rPr>
                <w:color w:val="191919"/>
              </w:rPr>
            </w:pPr>
            <w:r>
              <w:rPr>
                <w:color w:val="0A7DAC"/>
              </w:rPr>
              <w:t>•</w:t>
            </w:r>
            <w:r>
              <w:rPr>
                <w:color w:val="191919"/>
              </w:rPr>
              <w:t>  </w:t>
            </w:r>
            <w:r>
              <w:rPr>
                <w:rFonts w:ascii="Arial" w:hAnsi="Arial"/>
                <w:color w:val="191919"/>
                <w:sz w:val="17"/>
              </w:rPr>
              <w:t>Recommend to the Board changes in non-employee director compensation</w:t>
            </w:r>
          </w:p>
        </w:tc>
      </w:tr>
    </w:tbl>
    <w:p>
      <w:pPr>
        <w:pStyle w:val="TextBody"/>
        <w:bidi w:val="0"/>
        <w:spacing w:before="360" w:after="0"/>
        <w:jc w:val="left"/>
        <w:rPr>
          <w:rFonts w:ascii="Arial" w:hAnsi="Arial"/>
          <w:b/>
          <w:color w:val="0A7DAC"/>
          <w:sz w:val="25"/>
        </w:rPr>
      </w:pPr>
      <w:r>
        <w:rPr>
          <w:rFonts w:ascii="Arial" w:hAnsi="Arial"/>
          <w:b/>
          <w:color w:val="0A7DAC"/>
          <w:sz w:val="25"/>
        </w:rPr>
        <w:t xml:space="preserve">Nominating &amp; Corporate Governance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4"/>
        <w:gridCol w:w="120"/>
        <w:gridCol w:w="8101"/>
      </w:tblGrid>
      <w:tr>
        <w:trPr/>
        <w:tc>
          <w:tcPr>
            <w:tcW w:w="19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1984" w:type="dxa"/>
            <w:tcBorders>
              <w:bottom w:val="single" w:sz="6" w:space="0" w:color="7DB655"/>
            </w:tcBorders>
            <w:tcMar>
              <w:bottom w:w="28"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Members and Other Information</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8101" w:type="dxa"/>
            <w:tcBorders>
              <w:bottom w:val="single" w:sz="6" w:space="0" w:color="7DB655"/>
            </w:tcBorders>
            <w:tcMar>
              <w:bottom w:w="28" w:type="dxa"/>
            </w:tcMar>
            <w:vAlign w:val="center"/>
          </w:tcPr>
          <w:p>
            <w:pPr>
              <w:pStyle w:val="TableContents"/>
              <w:bidi w:val="0"/>
              <w:spacing w:before="0" w:after="283"/>
              <w:jc w:val="left"/>
              <w:rPr>
                <w:b/>
                <w:color w:val="191919"/>
              </w:rPr>
            </w:pPr>
            <w:r>
              <w:rPr>
                <w:b/>
                <w:color w:val="191919"/>
              </w:rPr>
              <w:t>Primary Oversight Responsibilities</w:t>
            </w:r>
          </w:p>
        </w:tc>
      </w:tr>
      <w:tr>
        <w:trPr/>
        <w:tc>
          <w:tcPr>
            <w:tcW w:w="1984" w:type="dxa"/>
            <w:tcBorders/>
            <w:vAlign w:val="center"/>
          </w:tcPr>
          <w:p>
            <w:pPr>
              <w:pStyle w:val="TableContents"/>
              <w:bidi w:val="0"/>
              <w:spacing w:before="0" w:after="283"/>
              <w:jc w:val="left"/>
              <w:rPr>
                <w:sz w:val="4"/>
                <w:szCs w:val="4"/>
              </w:rPr>
            </w:pPr>
            <w:r>
              <w:rPr>
                <w:sz w:val="4"/>
                <w:szCs w:val="4"/>
              </w:rPr>
            </w:r>
          </w:p>
        </w:tc>
        <w:tc>
          <w:tcPr>
            <w:tcW w:w="8221" w:type="dxa"/>
            <w:gridSpan w:val="2"/>
            <w:tcBorders/>
            <w:vAlign w:val="center"/>
          </w:tcPr>
          <w:p>
            <w:pPr>
              <w:pStyle w:val="TableContents"/>
              <w:bidi w:val="0"/>
              <w:spacing w:before="0" w:after="283"/>
              <w:jc w:val="left"/>
              <w:rPr>
                <w:sz w:val="4"/>
                <w:szCs w:val="4"/>
              </w:rPr>
            </w:pPr>
            <w:r>
              <w:rPr>
                <w:sz w:val="4"/>
                <w:szCs w:val="4"/>
              </w:rPr>
            </w:r>
          </w:p>
        </w:tc>
      </w:tr>
      <w:tr>
        <w:trPr/>
        <w:tc>
          <w:tcPr>
            <w:tcW w:w="1984"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b/>
                <w:sz w:val="17"/>
              </w:rPr>
            </w:pPr>
            <w:r>
              <w:rPr>
                <w:rFonts w:ascii="Arial" w:hAnsi="Arial"/>
                <w:b/>
                <w:sz w:val="17"/>
              </w:rPr>
              <w:t>Committee Chair:</w:t>
            </w:r>
          </w:p>
          <w:p>
            <w:pPr>
              <w:pStyle w:val="TableContents"/>
              <w:bidi w:val="0"/>
              <w:spacing w:lineRule="atLeast" w:line="240" w:before="0" w:after="0"/>
              <w:jc w:val="left"/>
              <w:rPr>
                <w:rFonts w:ascii="Arial" w:hAnsi="Arial"/>
                <w:sz w:val="17"/>
              </w:rPr>
            </w:pPr>
            <w:r>
              <w:rPr>
                <w:rFonts w:ascii="Arial" w:hAnsi="Arial"/>
                <w:sz w:val="17"/>
              </w:rPr>
              <w:t>Michael R. Gambrell</w:t>
            </w:r>
          </w:p>
          <w:p>
            <w:pPr>
              <w:pStyle w:val="TableContents"/>
              <w:bidi w:val="0"/>
              <w:spacing w:before="0" w:after="0"/>
              <w:jc w:val="left"/>
              <w:rPr/>
            </w:pPr>
            <w:r>
              <w:rPr/>
              <w:t> </w:t>
            </w:r>
          </w:p>
          <w:p>
            <w:pPr>
              <w:pStyle w:val="TableContents"/>
              <w:bidi w:val="0"/>
              <w:spacing w:lineRule="atLeast" w:line="240" w:before="0" w:after="0"/>
              <w:jc w:val="left"/>
              <w:rPr>
                <w:rFonts w:ascii="Arial" w:hAnsi="Arial"/>
                <w:b/>
                <w:sz w:val="17"/>
              </w:rPr>
            </w:pPr>
            <w:r>
              <w:rPr>
                <w:rFonts w:ascii="Arial" w:hAnsi="Arial"/>
                <w:b/>
                <w:sz w:val="17"/>
              </w:rPr>
              <w:t>Other Members:</w:t>
            </w:r>
          </w:p>
          <w:p>
            <w:pPr>
              <w:pStyle w:val="TableContents"/>
              <w:bidi w:val="0"/>
              <w:spacing w:lineRule="atLeast" w:line="240" w:before="0" w:after="0"/>
              <w:jc w:val="left"/>
              <w:rPr>
                <w:rFonts w:ascii="Arial" w:hAnsi="Arial"/>
                <w:sz w:val="17"/>
              </w:rPr>
            </w:pPr>
            <w:r>
              <w:rPr>
                <w:rFonts w:ascii="Arial" w:hAnsi="Arial"/>
                <w:sz w:val="17"/>
              </w:rPr>
              <w:t>Bobby Griffin</w:t>
            </w:r>
          </w:p>
          <w:p>
            <w:pPr>
              <w:pStyle w:val="TableContents"/>
              <w:bidi w:val="0"/>
              <w:spacing w:lineRule="atLeast" w:line="240" w:before="0" w:after="0"/>
              <w:jc w:val="left"/>
              <w:rPr>
                <w:rFonts w:ascii="Arial" w:hAnsi="Arial"/>
                <w:sz w:val="17"/>
              </w:rPr>
            </w:pPr>
            <w:r>
              <w:rPr>
                <w:rFonts w:ascii="Arial" w:hAnsi="Arial"/>
                <w:sz w:val="17"/>
              </w:rPr>
              <w:t>Terry L. Johnston</w:t>
            </w:r>
          </w:p>
          <w:p>
            <w:pPr>
              <w:pStyle w:val="TableContents"/>
              <w:bidi w:val="0"/>
              <w:spacing w:lineRule="atLeast" w:line="240" w:before="0" w:after="0"/>
              <w:jc w:val="left"/>
              <w:rPr>
                <w:rFonts w:ascii="Arial" w:hAnsi="Arial"/>
                <w:sz w:val="17"/>
              </w:rPr>
            </w:pPr>
            <w:r>
              <w:rPr>
                <w:rFonts w:ascii="Arial" w:hAnsi="Arial"/>
                <w:sz w:val="17"/>
              </w:rPr>
              <w:t>Linda A. Livingstone</w:t>
            </w:r>
          </w:p>
          <w:p>
            <w:pPr>
              <w:pStyle w:val="TableContents"/>
              <w:bidi w:val="0"/>
              <w:spacing w:before="0" w:after="0"/>
              <w:jc w:val="left"/>
              <w:rPr/>
            </w:pPr>
            <w:r>
              <w:rPr/>
              <w:t> </w:t>
            </w:r>
          </w:p>
          <w:p>
            <w:pPr>
              <w:pStyle w:val="TableContents"/>
              <w:bidi w:val="0"/>
              <w:spacing w:lineRule="atLeast" w:line="240" w:before="0" w:after="20"/>
              <w:jc w:val="left"/>
              <w:rPr>
                <w:rFonts w:ascii="Arial" w:hAnsi="Arial"/>
                <w:b/>
                <w:sz w:val="17"/>
              </w:rPr>
            </w:pPr>
            <w:r>
              <w:rPr>
                <w:rFonts w:ascii="Arial" w:hAnsi="Arial"/>
                <w:b/>
                <w:sz w:val="17"/>
              </w:rPr>
              <w:t>4 Meetings in Fiscal 2026</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8101" w:type="dxa"/>
            <w:tcBorders>
              <w:bottom w:val="single" w:sz="6" w:space="0" w:color="7DB655"/>
            </w:tcBorders>
            <w:tcMar>
              <w:bottom w:w="28" w:type="dxa"/>
            </w:tcMar>
            <w:vAlign w:val="center"/>
          </w:tcPr>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Establish and implement procedures to review the qualifications for membership on our Board of Directors, including nominees recommended by shareholders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Identify and recommend to the Board qualified candidates to become Board members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Develop and review succession planning for the Board and its leadership positions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Manage risks associated with board independence and potential conflicts of interest</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Establish corporate governance principles and policies, including overseeing the Company’s Corporate Governance Guidelines</w:t>
            </w:r>
          </w:p>
          <w:p>
            <w:pPr>
              <w:pStyle w:val="TableContents"/>
              <w:bidi w:val="0"/>
              <w:spacing w:lineRule="atLeast" w:line="240" w:before="0" w:after="0"/>
              <w:jc w:val="left"/>
              <w:rPr>
                <w:color w:val="191919"/>
              </w:rPr>
            </w:pPr>
            <w:r>
              <w:rPr>
                <w:color w:val="0A7DAC"/>
              </w:rPr>
              <w:t>•</w:t>
            </w:r>
            <w:r>
              <w:rPr>
                <w:color w:val="191919"/>
              </w:rPr>
              <w:t>  </w:t>
            </w:r>
            <w:r>
              <w:rPr>
                <w:rFonts w:ascii="Arial" w:hAnsi="Arial"/>
                <w:color w:val="191919"/>
                <w:sz w:val="17"/>
              </w:rPr>
              <w:t>Oversee the Company’s ESG program and related initiatives</w:t>
            </w:r>
          </w:p>
          <w:p>
            <w:pPr>
              <w:pStyle w:val="TableContents"/>
              <w:bidi w:val="0"/>
              <w:spacing w:lineRule="atLeast" w:line="240" w:before="0" w:after="20"/>
              <w:jc w:val="left"/>
              <w:rPr>
                <w:color w:val="191919"/>
              </w:rPr>
            </w:pPr>
            <w:r>
              <w:rPr>
                <w:color w:val="0A7DAC"/>
              </w:rPr>
              <w:t>•</w:t>
            </w:r>
            <w:r>
              <w:rPr>
                <w:color w:val="191919"/>
              </w:rPr>
              <w:t>  </w:t>
            </w:r>
            <w:r>
              <w:rPr>
                <w:rFonts w:ascii="Arial" w:hAnsi="Arial"/>
                <w:color w:val="191919"/>
                <w:sz w:val="17"/>
              </w:rPr>
              <w:t>Oversee the Board and committee self-evaluation process</w:t>
            </w:r>
          </w:p>
        </w:tc>
      </w:tr>
    </w:tbl>
    <w:p>
      <w:pPr>
        <w:pStyle w:val="TextBody"/>
        <w:bidi w:val="0"/>
        <w:spacing w:before="240" w:after="0"/>
        <w:jc w:val="left"/>
        <w:rPr>
          <w:rFonts w:ascii="Arial" w:hAnsi="Arial"/>
          <w:color w:val="191919"/>
          <w:sz w:val="18"/>
        </w:rPr>
      </w:pPr>
      <w:r>
        <w:rPr>
          <w:rFonts w:ascii="Arial" w:hAnsi="Arial"/>
          <w:color w:val="191919"/>
          <w:sz w:val="18"/>
        </w:rPr>
        <w:t xml:space="preserve">The Board has a responsibility to oversee the CEO and other members of senior management in the competent and ethical operation of the Company and to ensure that our shareholders’ best interests are being served. To meet this responsibility, the Board has established Corporate Governance Guidelines designed to promote effective oversight of the Company’s business affairs. The Board monitors and updates these Guidelines periodically as it deems appropriate. </w:t>
      </w:r>
    </w:p>
    <w:p>
      <w:pPr>
        <w:pStyle w:val="TextBody"/>
        <w:bidi w:val="0"/>
        <w:spacing w:before="240" w:after="0"/>
        <w:jc w:val="left"/>
        <w:rPr>
          <w:rFonts w:ascii="Arial" w:hAnsi="Arial"/>
          <w:color w:val="191919"/>
          <w:sz w:val="18"/>
        </w:rPr>
      </w:pPr>
      <w:r>
        <w:rPr>
          <w:rFonts w:ascii="Arial" w:hAnsi="Arial"/>
          <w:color w:val="191919"/>
          <w:sz w:val="18"/>
        </w:rPr>
        <w:t xml:space="preserve">As discussed in this section of the Proxy Statement, the Corporate Governance Guidelines cover a range of matters, including: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3110230" cy="2120900"/>
                <wp:effectExtent l="0" t="0" r="0" b="0"/>
                <wp:wrapSquare wrapText="right"/>
                <wp:docPr id="209" name="Frame7"/>
                <a:graphic xmlns:a="http://schemas.openxmlformats.org/drawingml/2006/main">
                  <a:graphicData uri="http://schemas.microsoft.com/office/word/2010/wordprocessingShape">
                    <wps:wsp>
                      <wps:cNvSpPr txBox="1"/>
                      <wps:spPr>
                        <a:xfrm>
                          <a:off x="0" y="0"/>
                          <a:ext cx="3110230" cy="2120900"/>
                        </a:xfrm>
                        <a:prstGeom prst="rect"/>
                        <a:solidFill>
                          <a:srgbClr val="FFFFFF"/>
                        </a:solidFill>
                      </wps:spPr>
                      <wps:txbx>
                        <w:txbxContent>
                          <w:tbl>
                            <w:tblPr>
                              <w:tblW w:w="2635" w:type="dxa"/>
                              <w:jc w:val="left"/>
                              <w:tblInd w:w="0" w:type="dxa"/>
                              <w:tblLayout w:type="fixed"/>
                              <w:tblCellMar>
                                <w:top w:w="0" w:type="dxa"/>
                                <w:left w:w="0" w:type="dxa"/>
                                <w:bottom w:w="0" w:type="dxa"/>
                                <w:right w:w="0" w:type="dxa"/>
                              </w:tblCellMar>
                            </w:tblPr>
                            <w:tblGrid>
                              <w:gridCol w:w="125"/>
                              <w:gridCol w:w="2510"/>
                            </w:tblGrid>
                            <w:tr>
                              <w:trPr/>
                              <w:tc>
                                <w:tcPr>
                                  <w:tcW w:w="125" w:type="dxa"/>
                                  <w:tcBorders/>
                                  <w:vAlign w:val="center"/>
                                </w:tcPr>
                                <w:p>
                                  <w:pPr>
                                    <w:pStyle w:val="TableContents"/>
                                    <w:bidi w:val="0"/>
                                    <w:spacing w:before="0" w:after="283"/>
                                    <w:jc w:val="left"/>
                                    <w:rPr>
                                      <w:color w:val="0A7DAC"/>
                                    </w:rPr>
                                  </w:pPr>
                                  <w:r>
                                    <w:rPr>
                                      <w:color w:val="0A7DAC"/>
                                    </w:rPr>
                                    <w:t>•</w:t>
                                  </w:r>
                                </w:p>
                              </w:tc>
                              <w:tc>
                                <w:tcPr>
                                  <w:tcW w:w="251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director selection process;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125"/>
                              <w:gridCol w:w="4010"/>
                            </w:tblGrid>
                            <w:tr>
                              <w:trPr/>
                              <w:tc>
                                <w:tcPr>
                                  <w:tcW w:w="125" w:type="dxa"/>
                                  <w:tcBorders/>
                                  <w:vAlign w:val="center"/>
                                </w:tcPr>
                                <w:p>
                                  <w:pPr>
                                    <w:pStyle w:val="TableContents"/>
                                    <w:bidi w:val="0"/>
                                    <w:spacing w:before="0" w:after="283"/>
                                    <w:jc w:val="left"/>
                                    <w:rPr>
                                      <w:color w:val="0A7DAC"/>
                                    </w:rPr>
                                  </w:pPr>
                                  <w:r>
                                    <w:rPr>
                                      <w:color w:val="0A7DAC"/>
                                    </w:rPr>
                                    <w:t>•</w:t>
                                  </w:r>
                                </w:p>
                              </w:tc>
                              <w:tc>
                                <w:tcPr>
                                  <w:tcW w:w="401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composition of the Board and its committees;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125"/>
                              <w:gridCol w:w="3155"/>
                            </w:tblGrid>
                            <w:tr>
                              <w:trPr/>
                              <w:tc>
                                <w:tcPr>
                                  <w:tcW w:w="125" w:type="dxa"/>
                                  <w:tcBorders/>
                                  <w:vAlign w:val="center"/>
                                </w:tcPr>
                                <w:p>
                                  <w:pPr>
                                    <w:pStyle w:val="TableContents"/>
                                    <w:bidi w:val="0"/>
                                    <w:spacing w:before="0" w:after="283"/>
                                    <w:jc w:val="left"/>
                                    <w:rPr>
                                      <w:color w:val="0A7DAC"/>
                                    </w:rPr>
                                  </w:pPr>
                                  <w:r>
                                    <w:rPr>
                                      <w:color w:val="0A7DAC"/>
                                    </w:rPr>
                                    <w:t>•</w:t>
                                  </w:r>
                                </w:p>
                              </w:tc>
                              <w:tc>
                                <w:tcPr>
                                  <w:tcW w:w="315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review and evaluation of the CEO;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125"/>
                              <w:gridCol w:w="4400"/>
                            </w:tblGrid>
                            <w:tr>
                              <w:trPr/>
                              <w:tc>
                                <w:tcPr>
                                  <w:tcW w:w="125" w:type="dxa"/>
                                  <w:tcBorders/>
                                  <w:vAlign w:val="center"/>
                                </w:tcPr>
                                <w:p>
                                  <w:pPr>
                                    <w:pStyle w:val="TableContents"/>
                                    <w:bidi w:val="0"/>
                                    <w:spacing w:before="0" w:after="283"/>
                                    <w:jc w:val="left"/>
                                    <w:rPr>
                                      <w:color w:val="0A7DAC"/>
                                    </w:rPr>
                                  </w:pPr>
                                  <w:r>
                                    <w:rPr>
                                      <w:color w:val="0A7DAC"/>
                                    </w:rPr>
                                    <w:t>•</w:t>
                                  </w:r>
                                </w:p>
                              </w:tc>
                              <w:tc>
                                <w:tcPr>
                                  <w:tcW w:w="440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succession planning and management development;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7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635" w:type="dxa"/>
                        <w:jc w:val="left"/>
                        <w:tblInd w:w="0" w:type="dxa"/>
                        <w:tblLayout w:type="fixed"/>
                        <w:tblCellMar>
                          <w:top w:w="0" w:type="dxa"/>
                          <w:left w:w="0" w:type="dxa"/>
                          <w:bottom w:w="0" w:type="dxa"/>
                          <w:right w:w="0" w:type="dxa"/>
                        </w:tblCellMar>
                      </w:tblPr>
                      <w:tblGrid>
                        <w:gridCol w:w="125"/>
                        <w:gridCol w:w="2510"/>
                      </w:tblGrid>
                      <w:tr>
                        <w:trPr/>
                        <w:tc>
                          <w:tcPr>
                            <w:tcW w:w="125" w:type="dxa"/>
                            <w:tcBorders/>
                            <w:vAlign w:val="center"/>
                          </w:tcPr>
                          <w:p>
                            <w:pPr>
                              <w:pStyle w:val="TableContents"/>
                              <w:bidi w:val="0"/>
                              <w:spacing w:before="0" w:after="283"/>
                              <w:jc w:val="left"/>
                              <w:rPr>
                                <w:color w:val="0A7DAC"/>
                              </w:rPr>
                            </w:pPr>
                            <w:r>
                              <w:rPr>
                                <w:color w:val="0A7DAC"/>
                              </w:rPr>
                              <w:t>•</w:t>
                            </w:r>
                          </w:p>
                        </w:tc>
                        <w:tc>
                          <w:tcPr>
                            <w:tcW w:w="251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director selection process;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125"/>
                        <w:gridCol w:w="4010"/>
                      </w:tblGrid>
                      <w:tr>
                        <w:trPr/>
                        <w:tc>
                          <w:tcPr>
                            <w:tcW w:w="125" w:type="dxa"/>
                            <w:tcBorders/>
                            <w:vAlign w:val="center"/>
                          </w:tcPr>
                          <w:p>
                            <w:pPr>
                              <w:pStyle w:val="TableContents"/>
                              <w:bidi w:val="0"/>
                              <w:spacing w:before="0" w:after="283"/>
                              <w:jc w:val="left"/>
                              <w:rPr>
                                <w:color w:val="0A7DAC"/>
                              </w:rPr>
                            </w:pPr>
                            <w:r>
                              <w:rPr>
                                <w:color w:val="0A7DAC"/>
                              </w:rPr>
                              <w:t>•</w:t>
                            </w:r>
                          </w:p>
                        </w:tc>
                        <w:tc>
                          <w:tcPr>
                            <w:tcW w:w="401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composition of the Board and its committees;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125"/>
                        <w:gridCol w:w="3155"/>
                      </w:tblGrid>
                      <w:tr>
                        <w:trPr/>
                        <w:tc>
                          <w:tcPr>
                            <w:tcW w:w="125" w:type="dxa"/>
                            <w:tcBorders/>
                            <w:vAlign w:val="center"/>
                          </w:tcPr>
                          <w:p>
                            <w:pPr>
                              <w:pStyle w:val="TableContents"/>
                              <w:bidi w:val="0"/>
                              <w:spacing w:before="0" w:after="283"/>
                              <w:jc w:val="left"/>
                              <w:rPr>
                                <w:color w:val="0A7DAC"/>
                              </w:rPr>
                            </w:pPr>
                            <w:r>
                              <w:rPr>
                                <w:color w:val="0A7DAC"/>
                              </w:rPr>
                              <w:t>•</w:t>
                            </w:r>
                          </w:p>
                        </w:tc>
                        <w:tc>
                          <w:tcPr>
                            <w:tcW w:w="315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review and evaluation of the CEO;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125"/>
                        <w:gridCol w:w="4400"/>
                      </w:tblGrid>
                      <w:tr>
                        <w:trPr/>
                        <w:tc>
                          <w:tcPr>
                            <w:tcW w:w="125" w:type="dxa"/>
                            <w:tcBorders/>
                            <w:vAlign w:val="center"/>
                          </w:tcPr>
                          <w:p>
                            <w:pPr>
                              <w:pStyle w:val="TableContents"/>
                              <w:bidi w:val="0"/>
                              <w:spacing w:before="0" w:after="283"/>
                              <w:jc w:val="left"/>
                              <w:rPr>
                                <w:color w:val="0A7DAC"/>
                              </w:rPr>
                            </w:pPr>
                            <w:r>
                              <w:rPr>
                                <w:color w:val="0A7DAC"/>
                              </w:rPr>
                              <w:t>•</w:t>
                            </w:r>
                          </w:p>
                        </w:tc>
                        <w:tc>
                          <w:tcPr>
                            <w:tcW w:w="440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succession planning and management development;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3175000" cy="1590675"/>
                <wp:effectExtent l="0" t="0" r="0" b="0"/>
                <wp:wrapSquare wrapText="right"/>
                <wp:docPr id="210" name="Frame8"/>
                <a:graphic xmlns:a="http://schemas.openxmlformats.org/drawingml/2006/main">
                  <a:graphicData uri="http://schemas.microsoft.com/office/word/2010/wordprocessingShape">
                    <wps:wsp>
                      <wps:cNvSpPr txBox="1"/>
                      <wps:spPr>
                        <a:xfrm>
                          <a:off x="0" y="0"/>
                          <a:ext cx="3175000" cy="1590675"/>
                        </a:xfrm>
                        <a:prstGeom prst="rect"/>
                        <a:solidFill>
                          <a:srgbClr val="FFFFFF"/>
                        </a:solidFill>
                      </wps:spPr>
                      <wps:txbx>
                        <w:txbxContent>
                          <w:tbl>
                            <w:tblPr>
                              <w:tblW w:w="2065" w:type="dxa"/>
                              <w:jc w:val="left"/>
                              <w:tblInd w:w="0" w:type="dxa"/>
                              <w:tblLayout w:type="fixed"/>
                              <w:tblCellMar>
                                <w:top w:w="0" w:type="dxa"/>
                                <w:left w:w="0" w:type="dxa"/>
                                <w:bottom w:w="0" w:type="dxa"/>
                                <w:right w:w="0" w:type="dxa"/>
                              </w:tblCellMar>
                            </w:tblPr>
                            <w:tblGrid>
                              <w:gridCol w:w="125"/>
                              <w:gridCol w:w="1940"/>
                            </w:tblGrid>
                            <w:tr>
                              <w:trPr/>
                              <w:tc>
                                <w:tcPr>
                                  <w:tcW w:w="125" w:type="dxa"/>
                                  <w:tcBorders/>
                                  <w:vAlign w:val="center"/>
                                </w:tcPr>
                                <w:p>
                                  <w:pPr>
                                    <w:pStyle w:val="TableContents"/>
                                    <w:bidi w:val="0"/>
                                    <w:spacing w:before="0" w:after="283"/>
                                    <w:jc w:val="left"/>
                                    <w:rPr>
                                      <w:color w:val="0A7DAC"/>
                                    </w:rPr>
                                  </w:pPr>
                                  <w:r>
                                    <w:rPr>
                                      <w:color w:val="0A7DAC"/>
                                    </w:rPr>
                                    <w:t>•</w:t>
                                  </w:r>
                                </w:p>
                              </w:tc>
                              <w:tc>
                                <w:tcPr>
                                  <w:tcW w:w="194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director compensation;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125"/>
                              <w:gridCol w:w="5525"/>
                            </w:tblGrid>
                            <w:tr>
                              <w:trPr/>
                              <w:tc>
                                <w:tcPr>
                                  <w:tcW w:w="125" w:type="dxa"/>
                                  <w:tcBorders/>
                                  <w:vAlign w:val="center"/>
                                </w:tcPr>
                                <w:p>
                                  <w:pPr>
                                    <w:pStyle w:val="TableContents"/>
                                    <w:bidi w:val="0"/>
                                    <w:spacing w:before="0" w:after="283"/>
                                    <w:jc w:val="left"/>
                                    <w:rPr>
                                      <w:color w:val="0A7DAC"/>
                                    </w:rPr>
                                  </w:pPr>
                                  <w:r>
                                    <w:rPr>
                                      <w:color w:val="0A7DAC"/>
                                    </w:rPr>
                                    <w:t>•</w:t>
                                  </w:r>
                                </w:p>
                              </w:tc>
                              <w:tc>
                                <w:tcPr>
                                  <w:tcW w:w="552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review of individual directors and the Board’s performance; and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125"/>
                              <w:gridCol w:w="7970"/>
                            </w:tblGrid>
                            <w:tr>
                              <w:trPr/>
                              <w:tc>
                                <w:tcPr>
                                  <w:tcW w:w="125" w:type="dxa"/>
                                  <w:tcBorders/>
                                  <w:vAlign w:val="center"/>
                                </w:tcPr>
                                <w:p>
                                  <w:pPr>
                                    <w:pStyle w:val="TableContents"/>
                                    <w:bidi w:val="0"/>
                                    <w:spacing w:before="0" w:after="283"/>
                                    <w:jc w:val="left"/>
                                    <w:rPr>
                                      <w:color w:val="0A7DAC"/>
                                    </w:rPr>
                                  </w:pPr>
                                  <w:r>
                                    <w:rPr>
                                      <w:color w:val="0A7DAC"/>
                                    </w:rPr>
                                    <w:t>•</w:t>
                                  </w:r>
                                </w:p>
                              </w:tc>
                              <w:tc>
                                <w:tcPr>
                                  <w:tcW w:w="79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director independence requirements, age-based service limits, and other restrictions for directors.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065" w:type="dxa"/>
                        <w:jc w:val="left"/>
                        <w:tblInd w:w="0" w:type="dxa"/>
                        <w:tblLayout w:type="fixed"/>
                        <w:tblCellMar>
                          <w:top w:w="0" w:type="dxa"/>
                          <w:left w:w="0" w:type="dxa"/>
                          <w:bottom w:w="0" w:type="dxa"/>
                          <w:right w:w="0" w:type="dxa"/>
                        </w:tblCellMar>
                      </w:tblPr>
                      <w:tblGrid>
                        <w:gridCol w:w="125"/>
                        <w:gridCol w:w="1940"/>
                      </w:tblGrid>
                      <w:tr>
                        <w:trPr/>
                        <w:tc>
                          <w:tcPr>
                            <w:tcW w:w="125" w:type="dxa"/>
                            <w:tcBorders/>
                            <w:vAlign w:val="center"/>
                          </w:tcPr>
                          <w:p>
                            <w:pPr>
                              <w:pStyle w:val="TableContents"/>
                              <w:bidi w:val="0"/>
                              <w:spacing w:before="0" w:after="283"/>
                              <w:jc w:val="left"/>
                              <w:rPr>
                                <w:color w:val="0A7DAC"/>
                              </w:rPr>
                            </w:pPr>
                            <w:r>
                              <w:rPr>
                                <w:color w:val="0A7DAC"/>
                              </w:rPr>
                              <w:t>•</w:t>
                            </w:r>
                          </w:p>
                        </w:tc>
                        <w:tc>
                          <w:tcPr>
                            <w:tcW w:w="194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director compensation;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125"/>
                        <w:gridCol w:w="5525"/>
                      </w:tblGrid>
                      <w:tr>
                        <w:trPr/>
                        <w:tc>
                          <w:tcPr>
                            <w:tcW w:w="125" w:type="dxa"/>
                            <w:tcBorders/>
                            <w:vAlign w:val="center"/>
                          </w:tcPr>
                          <w:p>
                            <w:pPr>
                              <w:pStyle w:val="TableContents"/>
                              <w:bidi w:val="0"/>
                              <w:spacing w:before="0" w:after="283"/>
                              <w:jc w:val="left"/>
                              <w:rPr>
                                <w:color w:val="0A7DAC"/>
                              </w:rPr>
                            </w:pPr>
                            <w:r>
                              <w:rPr>
                                <w:color w:val="0A7DAC"/>
                              </w:rPr>
                              <w:t>•</w:t>
                            </w:r>
                          </w:p>
                        </w:tc>
                        <w:tc>
                          <w:tcPr>
                            <w:tcW w:w="552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the review of individual directors and the Board’s performance; and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125"/>
                        <w:gridCol w:w="7970"/>
                      </w:tblGrid>
                      <w:tr>
                        <w:trPr/>
                        <w:tc>
                          <w:tcPr>
                            <w:tcW w:w="125" w:type="dxa"/>
                            <w:tcBorders/>
                            <w:vAlign w:val="center"/>
                          </w:tcPr>
                          <w:p>
                            <w:pPr>
                              <w:pStyle w:val="TableContents"/>
                              <w:bidi w:val="0"/>
                              <w:spacing w:before="0" w:after="283"/>
                              <w:jc w:val="left"/>
                              <w:rPr>
                                <w:color w:val="0A7DAC"/>
                              </w:rPr>
                            </w:pPr>
                            <w:r>
                              <w:rPr>
                                <w:color w:val="0A7DAC"/>
                              </w:rPr>
                              <w:t>•</w:t>
                            </w:r>
                          </w:p>
                        </w:tc>
                        <w:tc>
                          <w:tcPr>
                            <w:tcW w:w="79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director independence requirements, age-based service limits, and other restrictions for directors.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The Corporate Governance Guidelines are available on the Company’s website at </w:t>
      </w:r>
      <w:r>
        <w:rPr>
          <w:rFonts w:ascii="Arial" w:hAnsi="Arial"/>
          <w:b/>
          <w:color w:val="191919"/>
          <w:sz w:val="18"/>
        </w:rPr>
        <w:t>www.csw.com</w:t>
      </w:r>
      <w:r>
        <w:rPr>
          <w:rFonts w:ascii="Arial" w:hAnsi="Arial"/>
          <w:color w:val="191919"/>
          <w:sz w:val="18"/>
        </w:rPr>
        <w:t xml:space="preserve"> under “Investors — Corporate Governance.” </w:t>
      </w:r>
    </w:p>
    <w:p>
      <w:pPr>
        <w:pStyle w:val="TextBody"/>
        <w:bidi w:val="0"/>
        <w:spacing w:before="360" w:after="0"/>
        <w:jc w:val="left"/>
        <w:rPr>
          <w:rFonts w:ascii="Arial" w:hAnsi="Arial"/>
          <w:b/>
          <w:color w:val="7DB655"/>
          <w:sz w:val="30"/>
        </w:rPr>
      </w:pPr>
      <w:bookmarkStart w:id="12" w:name="toc36145_9"/>
      <w:bookmarkEnd w:id="12"/>
      <w:r>
        <w:rPr>
          <w:rFonts w:ascii="Arial" w:hAnsi="Arial"/>
          <w:b/>
          <w:color w:val="7DB655"/>
          <w:sz w:val="30"/>
        </w:rPr>
        <w:t xml:space="preserve">Director Engagement </w:t>
      </w:r>
    </w:p>
    <w:p>
      <w:pPr>
        <w:pStyle w:val="TextBody"/>
        <w:bidi w:val="0"/>
        <w:spacing w:before="360" w:after="0"/>
        <w:jc w:val="left"/>
        <w:rPr>
          <w:rFonts w:ascii="Arial" w:hAnsi="Arial"/>
          <w:b/>
          <w:color w:val="191919"/>
          <w:sz w:val="26"/>
        </w:rPr>
      </w:pPr>
      <w:r>
        <w:rPr>
          <w:rFonts w:ascii="Arial" w:hAnsi="Arial"/>
          <w:b/>
          <w:color w:val="191919"/>
          <w:sz w:val="26"/>
        </w:rPr>
        <w:t xml:space="preserve">Executive Sessions </w:t>
      </w:r>
    </w:p>
    <w:p>
      <w:pPr>
        <w:pStyle w:val="TextBody"/>
        <w:bidi w:val="0"/>
        <w:spacing w:before="240" w:after="0"/>
        <w:jc w:val="left"/>
        <w:rPr>
          <w:rFonts w:ascii="Arial" w:hAnsi="Arial"/>
          <w:color w:val="191919"/>
          <w:sz w:val="18"/>
        </w:rPr>
      </w:pPr>
      <w:r>
        <w:rPr>
          <w:rFonts w:ascii="Arial" w:hAnsi="Arial"/>
          <w:color w:val="191919"/>
          <w:sz w:val="18"/>
        </w:rPr>
        <w:t xml:space="preserve">Executive sessions of independent directors are generally held at each regularly-scheduled Board meeting without the presence of non-independent directors or members of management. Any independent director may request that additional executive sessions be scheduled. Our Lead Independent Director presides at the executive sessions.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1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3" descr=""/>
                          <pic:cNvPicPr>
                            <a:picLocks noChangeAspect="1" noChangeArrowheads="1"/>
                          </pic:cNvPicPr>
                        </pic:nvPicPr>
                        <pic:blipFill>
                          <a:blip r:embed="rId20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Corporate Governance </w:t>
      </w:r>
    </w:p>
    <w:p>
      <w:pPr>
        <w:pStyle w:val="TextBody"/>
        <w:bidi w:val="0"/>
        <w:spacing w:before="0" w:after="0"/>
        <w:jc w:val="left"/>
        <w:rPr>
          <w:rFonts w:ascii="Arial" w:hAnsi="Arial"/>
          <w:sz w:val="16"/>
        </w:rPr>
      </w:pPr>
      <w:r>
        <w:rPr>
          <w:rFonts w:ascii="Arial" w:hAnsi="Arial"/>
          <w:sz w:val="16"/>
        </w:rPr>
        <w:t xml:space="preserve">Director Engagement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Director Attendance at Meetings </w:t>
      </w:r>
    </w:p>
    <w:p>
      <w:pPr>
        <w:pStyle w:val="TextBody"/>
        <w:bidi w:val="0"/>
        <w:spacing w:before="240" w:after="0"/>
        <w:jc w:val="left"/>
        <w:rPr>
          <w:rFonts w:ascii="Arial" w:hAnsi="Arial"/>
          <w:color w:val="191919"/>
          <w:sz w:val="18"/>
        </w:rPr>
      </w:pPr>
      <w:r>
        <w:rPr>
          <w:rFonts w:ascii="Arial" w:hAnsi="Arial"/>
          <w:color w:val="191919"/>
          <w:sz w:val="18"/>
        </w:rPr>
        <w:t xml:space="preserve">Board members are expected to devote the time necessary to appropriately discharge their responsibilities and to rigorously prepare for and, to the extent possible, attend and participate in all Board meetings and meetings of Board committees on which they serve. In fiscal 2026, the Board held seven (7) meetings, and each director attended at least 75% of the meetings of the Board and committees on which he or she served during the period for which he or she was a director. </w:t>
      </w:r>
    </w:p>
    <w:p>
      <w:pPr>
        <w:pStyle w:val="TextBody"/>
        <w:bidi w:val="0"/>
        <w:spacing w:before="240" w:after="0"/>
        <w:jc w:val="left"/>
        <w:rPr>
          <w:rFonts w:ascii="Arial" w:hAnsi="Arial"/>
          <w:color w:val="191919"/>
          <w:sz w:val="18"/>
        </w:rPr>
      </w:pPr>
      <w:r>
        <w:rPr>
          <w:rFonts w:ascii="Arial" w:hAnsi="Arial"/>
          <w:color w:val="191919"/>
          <w:sz w:val="18"/>
        </w:rPr>
        <w:t xml:space="preserve">The Company encourages all directors to attend its annual meeting of shareholders, though we do not have a specific policy with respect to director attendance. All of the Company’s then-current directors attended the 2025 annual meeting of shareholders. </w:t>
      </w:r>
    </w:p>
    <w:p>
      <w:pPr>
        <w:pStyle w:val="TextBody"/>
        <w:bidi w:val="0"/>
        <w:spacing w:before="360" w:after="0"/>
        <w:jc w:val="left"/>
        <w:rPr>
          <w:rFonts w:ascii="Arial" w:hAnsi="Arial"/>
          <w:b/>
          <w:color w:val="191919"/>
          <w:sz w:val="26"/>
        </w:rPr>
      </w:pPr>
      <w:r>
        <w:rPr>
          <w:rFonts w:ascii="Arial" w:hAnsi="Arial"/>
          <w:b/>
          <w:color w:val="191919"/>
          <w:sz w:val="26"/>
        </w:rPr>
        <w:t xml:space="preserve">Director Education and Orientation Program </w:t>
      </w:r>
    </w:p>
    <w:p>
      <w:pPr>
        <w:pStyle w:val="TextBody"/>
        <w:bidi w:val="0"/>
        <w:spacing w:before="240" w:after="0"/>
        <w:jc w:val="left"/>
        <w:rPr>
          <w:rFonts w:ascii="Arial" w:hAnsi="Arial"/>
          <w:color w:val="191919"/>
          <w:sz w:val="18"/>
        </w:rPr>
      </w:pPr>
      <w:r>
        <w:rPr>
          <w:rFonts w:ascii="Arial" w:hAnsi="Arial"/>
          <w:color w:val="191919"/>
          <w:sz w:val="18"/>
        </w:rPr>
        <w:t xml:space="preserve">The Company provides an orientation program and continuing education process for Board members to enable them to better understand our Company and to remain current on developments related to their Board and committee service. Educational opportunities include seminars, management and third-party expert presentations, meetings with key management, and visits to Company facilities.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8"/>
        <w:gridCol w:w="120"/>
        <w:gridCol w:w="8917"/>
      </w:tblGrid>
      <w:tr>
        <w:trPr/>
        <w:tc>
          <w:tcPr>
            <w:tcW w:w="11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17" w:type="dxa"/>
            <w:tcBorders/>
            <w:vAlign w:val="center"/>
          </w:tcPr>
          <w:p>
            <w:pPr>
              <w:pStyle w:val="TableContents"/>
              <w:bidi w:val="0"/>
              <w:spacing w:before="0" w:after="283"/>
              <w:jc w:val="left"/>
              <w:rPr>
                <w:sz w:val="4"/>
                <w:szCs w:val="4"/>
              </w:rPr>
            </w:pPr>
            <w:r>
              <w:rPr>
                <w:sz w:val="4"/>
                <w:szCs w:val="4"/>
              </w:rPr>
            </w:r>
          </w:p>
        </w:tc>
      </w:tr>
      <w:tr>
        <w:trPr/>
        <w:tc>
          <w:tcPr>
            <w:tcW w:w="1168"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6"/>
              </w:rPr>
            </w:pPr>
            <w:r>
              <w:rPr>
                <w:rFonts w:ascii="Arial" w:hAnsi="Arial"/>
                <w:b/>
                <w:sz w:val="16"/>
              </w:rPr>
              <w:t>New Director Orientation</w:t>
            </w:r>
          </w:p>
        </w:tc>
        <w:tc>
          <w:tcPr>
            <w:tcW w:w="120" w:type="dxa"/>
            <w:tcBorders>
              <w:top w:val="single" w:sz="56" w:space="0" w:color="7DB655"/>
            </w:tcBorders>
            <w:tcMar>
              <w:top w:w="28" w:type="dxa"/>
            </w:tcMar>
            <w:vAlign w:val="center"/>
          </w:tcPr>
          <w:p>
            <w:pPr>
              <w:pStyle w:val="TableContents"/>
              <w:bidi w:val="0"/>
              <w:spacing w:before="0" w:after="283"/>
              <w:jc w:val="left"/>
              <w:rPr/>
            </w:pPr>
            <w:r>
              <w:rPr/>
              <w:t>  </w:t>
            </w:r>
          </w:p>
        </w:tc>
        <w:tc>
          <w:tcPr>
            <w:tcW w:w="8917"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When a new director joins the Board, the Company provides an interactive, customized orientation and onboarding program. After completing the program, new directors should understand the Company’s strategy, reportable segments and product brands, organizational structure, leadership team, and Company resources available to them to help them be successful in their new role. This helps new directors quickly engage with other Board members and executive leadership and best fulfill their responsibilities and fiduciary duties as directors.</w:t>
            </w:r>
          </w:p>
        </w:tc>
      </w:tr>
      <w:tr>
        <w:trPr/>
        <w:tc>
          <w:tcPr>
            <w:tcW w:w="1168" w:type="dxa"/>
            <w:tcBorders/>
            <w:shd w:fill="EDEDED" w:val="clear"/>
            <w:vAlign w:val="center"/>
          </w:tcPr>
          <w:p>
            <w:pPr>
              <w:pStyle w:val="TableContents"/>
              <w:bidi w:val="0"/>
              <w:spacing w:before="0" w:after="283"/>
              <w:jc w:val="left"/>
              <w:rPr>
                <w:sz w:val="4"/>
                <w:szCs w:val="4"/>
              </w:rPr>
            </w:pPr>
            <w:r>
              <w:rPr>
                <w:sz w:val="4"/>
                <w:szCs w:val="4"/>
              </w:rPr>
            </w:r>
          </w:p>
        </w:tc>
        <w:tc>
          <w:tcPr>
            <w:tcW w:w="9037"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168" w:type="dxa"/>
            <w:tcBorders/>
            <w:shd w:fill="EDEDED" w:val="clear"/>
            <w:vAlign w:val="center"/>
          </w:tcPr>
          <w:p>
            <w:pPr>
              <w:pStyle w:val="TableContents"/>
              <w:bidi w:val="0"/>
              <w:spacing w:before="0" w:after="0"/>
              <w:jc w:val="left"/>
              <w:rPr>
                <w:rFonts w:ascii="Arial" w:hAnsi="Arial"/>
                <w:b/>
                <w:sz w:val="16"/>
              </w:rPr>
            </w:pPr>
            <w:r>
              <w:rPr>
                <w:rFonts w:ascii="Arial" w:hAnsi="Arial"/>
                <w:b/>
                <w:sz w:val="16"/>
              </w:rPr>
              <w:t>Continuing Education</w:t>
            </w:r>
          </w:p>
        </w:tc>
        <w:tc>
          <w:tcPr>
            <w:tcW w:w="120" w:type="dxa"/>
            <w:tcBorders/>
            <w:shd w:fill="EDEDED" w:val="clear"/>
            <w:vAlign w:val="center"/>
          </w:tcPr>
          <w:p>
            <w:pPr>
              <w:pStyle w:val="TableContents"/>
              <w:bidi w:val="0"/>
              <w:spacing w:before="0" w:after="283"/>
              <w:jc w:val="left"/>
              <w:rPr/>
            </w:pPr>
            <w:r>
              <w:rPr/>
              <w:t>  </w:t>
            </w:r>
          </w:p>
        </w:tc>
        <w:tc>
          <w:tcPr>
            <w:tcW w:w="8917" w:type="dxa"/>
            <w:tcBorders/>
            <w:shd w:fill="EDEDED" w:val="clear"/>
            <w:vAlign w:val="center"/>
          </w:tcPr>
          <w:p>
            <w:pPr>
              <w:pStyle w:val="TableContents"/>
              <w:bidi w:val="0"/>
              <w:spacing w:before="0" w:after="283"/>
              <w:jc w:val="left"/>
              <w:rPr>
                <w:color w:val="191919"/>
              </w:rPr>
            </w:pPr>
            <w:r>
              <w:rPr>
                <w:color w:val="191919"/>
              </w:rPr>
              <w:t>The Company provides regular updates on continuing education opportunities and will reimburse board members for the cost of any programs attended.</w:t>
            </w:r>
          </w:p>
        </w:tc>
      </w:tr>
      <w:tr>
        <w:trPr/>
        <w:tc>
          <w:tcPr>
            <w:tcW w:w="116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bottom w:val="single" w:sz="6" w:space="0" w:color="7DB655"/>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Outside of the Boardroom</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8917"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Throughout a Board member’s service, our directors have discussions with each other and key leaders of the Company outside of regularly scheduled Board and committee meetings to foster a deeper understanding of the Company’s business and build relationships through sharing of perspectives and ideas.</w:t>
            </w:r>
          </w:p>
        </w:tc>
      </w:tr>
    </w:tbl>
    <w:p>
      <w:pPr>
        <w:pStyle w:val="TextBody"/>
        <w:bidi w:val="0"/>
        <w:spacing w:before="240" w:after="0"/>
        <w:jc w:val="left"/>
        <w:rPr>
          <w:rFonts w:ascii="Arial" w:hAnsi="Arial"/>
          <w:b/>
          <w:color w:val="191919"/>
          <w:sz w:val="26"/>
        </w:rPr>
      </w:pPr>
      <w:r>
        <w:rPr>
          <w:rFonts w:ascii="Arial" w:hAnsi="Arial"/>
          <w:b/>
          <w:color w:val="191919"/>
          <w:sz w:val="26"/>
        </w:rPr>
        <w:t xml:space="preserve">Board Self-Evaluation </w:t>
      </w:r>
    </w:p>
    <w:p>
      <w:pPr>
        <w:pStyle w:val="TextBody"/>
        <w:bidi w:val="0"/>
        <w:spacing w:before="240" w:after="0"/>
        <w:jc w:val="left"/>
        <w:rPr>
          <w:rFonts w:ascii="Arial" w:hAnsi="Arial"/>
          <w:color w:val="191919"/>
          <w:sz w:val="18"/>
        </w:rPr>
      </w:pPr>
      <w:r>
        <w:rPr>
          <w:rFonts w:ascii="Arial" w:hAnsi="Arial"/>
          <w:color w:val="191919"/>
          <w:sz w:val="18"/>
        </w:rPr>
        <w:t xml:space="preserve">Our Board has conducted an annual self-evaluation since CSW’s inception. The self-evaluation is designed to assess whether the Board and its committees are functioning effectively. The Board’s committees also conduct annual self-evaluations for the same purpose. These evaluations focus on the performance of the Board or the committee, as applicable, as a unit, rather than the performance of any individual director. The N&amp;CG Committee, in collaboration with the Lead Independent Director, oversees our annual Board self-evaluation process, which is illustrated below. The Board believes this annual self-evaluation process supports its effectiveness and continuous improvement efforts.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657475"/>
            <wp:effectExtent l="0" t="0" r="0" b="0"/>
            <wp:docPr id="21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4" descr=""/>
                    <pic:cNvPicPr>
                      <a:picLocks noChangeAspect="1" noChangeArrowheads="1"/>
                    </pic:cNvPicPr>
                  </pic:nvPicPr>
                  <pic:blipFill>
                    <a:blip r:embed="rId205"/>
                    <a:stretch>
                      <a:fillRect/>
                    </a:stretch>
                  </pic:blipFill>
                  <pic:spPr bwMode="auto">
                    <a:xfrm>
                      <a:off x="0" y="0"/>
                      <a:ext cx="7810500" cy="2657475"/>
                    </a:xfrm>
                    <a:prstGeom prst="rect">
                      <a:avLst/>
                    </a:prstGeom>
                  </pic:spPr>
                </pic:pic>
              </a:graphicData>
            </a:graphic>
          </wp:inline>
        </w:drawing>
      </w:r>
      <w:r>
        <w:rPr/>
        <w:t xml:space="preserve">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1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5" descr=""/>
                          <pic:cNvPicPr>
                            <a:picLocks noChangeAspect="1" noChangeArrowheads="1"/>
                          </pic:cNvPicPr>
                        </pic:nvPicPr>
                        <pic:blipFill>
                          <a:blip r:embed="rId20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Corporate Governance </w:t>
      </w:r>
    </w:p>
    <w:p>
      <w:pPr>
        <w:pStyle w:val="TextBody"/>
        <w:bidi w:val="0"/>
        <w:spacing w:before="0" w:after="0"/>
        <w:jc w:val="right"/>
        <w:rPr>
          <w:rFonts w:ascii="Arial" w:hAnsi="Arial"/>
          <w:sz w:val="16"/>
        </w:rPr>
      </w:pPr>
      <w:r>
        <w:rPr>
          <w:rFonts w:ascii="Arial" w:hAnsi="Arial"/>
          <w:sz w:val="16"/>
        </w:rPr>
        <w:t xml:space="preserve">Board Oversight of Risk Management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13" w:name="toc36145_10"/>
      <w:bookmarkEnd w:id="13"/>
      <w:r>
        <w:rPr>
          <w:rFonts w:ascii="Arial" w:hAnsi="Arial"/>
          <w:b/>
          <w:color w:val="7DB655"/>
          <w:sz w:val="30"/>
        </w:rPr>
        <w:t xml:space="preserve">Board Oversight of Risk Management </w:t>
      </w:r>
    </w:p>
    <w:p>
      <w:pPr>
        <w:pStyle w:val="TextBody"/>
        <w:bidi w:val="0"/>
        <w:spacing w:before="240" w:after="0"/>
        <w:jc w:val="left"/>
        <w:rPr>
          <w:rFonts w:ascii="Arial" w:hAnsi="Arial"/>
          <w:color w:val="191919"/>
          <w:sz w:val="18"/>
        </w:rPr>
      </w:pPr>
      <w:r>
        <w:rPr>
          <w:rFonts w:ascii="Arial" w:hAnsi="Arial"/>
          <w:color w:val="191919"/>
          <w:sz w:val="18"/>
        </w:rPr>
        <w:t xml:space="preserve">The Company’s CEO and other members of senior management are responsible for the ongoing assessment and management of the risks the Company faces. These enterprise risks are formally assessed annually by management as part of the Company’s robust Enterprise Risk Management program. At least annually, the Board—both as a whole and through its committees—oversees the Company’s risk profile and management’s policies and processes for assessing and managing risk. Responsibilities for risk management are allocated generally as set forth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486150"/>
            <wp:effectExtent l="0" t="0" r="0" b="0"/>
            <wp:docPr id="21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6" descr=""/>
                    <pic:cNvPicPr>
                      <a:picLocks noChangeAspect="1" noChangeArrowheads="1"/>
                    </pic:cNvPicPr>
                  </pic:nvPicPr>
                  <pic:blipFill>
                    <a:blip r:embed="rId207"/>
                    <a:stretch>
                      <a:fillRect/>
                    </a:stretch>
                  </pic:blipFill>
                  <pic:spPr bwMode="auto">
                    <a:xfrm>
                      <a:off x="0" y="0"/>
                      <a:ext cx="7810500" cy="3486150"/>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The Board is regularly informed through committee reports of each committee’s activities in overseeing risk management within their respective areas of oversight responsibility. </w:t>
      </w:r>
    </w:p>
    <w:p>
      <w:pPr>
        <w:pStyle w:val="TextBody"/>
        <w:bidi w:val="0"/>
        <w:spacing w:before="240" w:after="0"/>
        <w:jc w:val="left"/>
        <w:rPr>
          <w:rFonts w:ascii="Arial" w:hAnsi="Arial"/>
          <w:color w:val="191919"/>
          <w:sz w:val="18"/>
        </w:rPr>
      </w:pPr>
      <w:r>
        <w:rPr>
          <w:rFonts w:ascii="Arial" w:hAnsi="Arial"/>
          <w:color w:val="191919"/>
          <w:sz w:val="18"/>
        </w:rPr>
        <w:t xml:space="preserve">Our Enterprise Risk Management (“ERM”) program, which is overseen by our Audit Committee, supports our risk management and strategic planning efforts. Since our inception, our ERM program has begun with an annual risk assessment survey. Near the end of each calendar year, approximately 35 key leaders across our organization and all Board members receive a focused questionnaire that they use to provide feedback on a universe of nearly 50 enterprise risks covering six distinct risk categories: Strategic; Financial; Legal &amp; Compliance; Operational; IT &amp; Systems; and Talent Management. The following graphic illustrates this process: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4534"/>
        <w:gridCol w:w="60"/>
        <w:gridCol w:w="5453"/>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3" w:type="dxa"/>
            <w:tcBorders/>
            <w:vAlign w:val="center"/>
          </w:tcPr>
          <w:p>
            <w:pPr>
              <w:pStyle w:val="TableContents"/>
              <w:bidi w:val="0"/>
              <w:spacing w:before="0" w:after="283"/>
              <w:jc w:val="left"/>
              <w:rPr>
                <w:sz w:val="4"/>
                <w:szCs w:val="4"/>
              </w:rPr>
            </w:pPr>
            <w:r>
              <w:rPr>
                <w:sz w:val="4"/>
                <w:szCs w:val="4"/>
              </w:rPr>
            </w:r>
          </w:p>
        </w:tc>
      </w:tr>
      <w:tr>
        <w:trPr/>
        <w:tc>
          <w:tcPr>
            <w:tcW w:w="38" w:type="dxa"/>
            <w:tcBorders/>
            <w:shd w:fill="7DB655" w:val="clear"/>
            <w:vAlign w:val="center"/>
          </w:tcPr>
          <w:p>
            <w:pPr>
              <w:pStyle w:val="TableContents"/>
              <w:bidi w:val="0"/>
              <w:spacing w:before="0" w:after="283"/>
              <w:jc w:val="left"/>
              <w:rPr>
                <w:sz w:val="4"/>
                <w:szCs w:val="4"/>
              </w:rPr>
            </w:pPr>
            <w:r>
              <w:rPr>
                <w:sz w:val="4"/>
                <w:szCs w:val="4"/>
              </w:rPr>
            </w:r>
          </w:p>
        </w:tc>
        <w:tc>
          <w:tcPr>
            <w:tcW w:w="120" w:type="dxa"/>
            <w:tcBorders/>
            <w:shd w:fill="7DB655" w:val="clear"/>
            <w:vAlign w:val="center"/>
          </w:tcPr>
          <w:p>
            <w:pPr>
              <w:pStyle w:val="TableContents"/>
              <w:bidi w:val="0"/>
              <w:spacing w:before="0" w:after="283"/>
              <w:jc w:val="left"/>
              <w:rPr/>
            </w:pPr>
            <w:r>
              <w:rPr/>
              <w:t>  </w:t>
            </w:r>
          </w:p>
        </w:tc>
        <w:tc>
          <w:tcPr>
            <w:tcW w:w="4534" w:type="dxa"/>
            <w:tcBorders/>
            <w:shd w:fill="7DB655" w:val="clear"/>
            <w:vAlign w:val="center"/>
          </w:tcPr>
          <w:p>
            <w:pPr>
              <w:pStyle w:val="TableContents"/>
              <w:bidi w:val="0"/>
              <w:spacing w:before="0" w:after="283"/>
              <w:jc w:val="left"/>
              <w:rPr>
                <w:sz w:val="4"/>
                <w:szCs w:val="4"/>
              </w:rPr>
            </w:pPr>
            <w:r>
              <w:rPr>
                <w:sz w:val="4"/>
                <w:szCs w:val="4"/>
              </w:rPr>
            </w:r>
          </w:p>
        </w:tc>
        <w:tc>
          <w:tcPr>
            <w:tcW w:w="60" w:type="dxa"/>
            <w:tcBorders/>
            <w:shd w:fill="7DB655" w:val="clear"/>
            <w:vAlign w:val="center"/>
          </w:tcPr>
          <w:p>
            <w:pPr>
              <w:pStyle w:val="TableContents"/>
              <w:bidi w:val="0"/>
              <w:spacing w:before="0" w:after="283"/>
              <w:jc w:val="left"/>
              <w:rPr/>
            </w:pPr>
            <w:r>
              <w:rPr/>
              <w:t> </w:t>
            </w:r>
          </w:p>
        </w:tc>
        <w:tc>
          <w:tcPr>
            <w:tcW w:w="5453" w:type="dxa"/>
            <w:tcBorders/>
            <w:shd w:fill="7DB655" w:val="clear"/>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4534"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7DB655"/>
                <w:sz w:val="30"/>
              </w:rPr>
            </w:pPr>
            <w:r>
              <w:rPr>
                <w:rFonts w:ascii="Arial" w:hAnsi="Arial"/>
                <w:b/>
                <w:color w:val="7DB655"/>
                <w:sz w:val="30"/>
              </w:rPr>
              <w:t>Enterprise Risk Assessment</w:t>
            </w:r>
          </w:p>
          <w:p>
            <w:pPr>
              <w:pStyle w:val="TableContents"/>
              <w:bidi w:val="0"/>
              <w:spacing w:before="0" w:after="0"/>
              <w:jc w:val="left"/>
              <w:rPr/>
            </w:pPr>
            <w:r>
              <w:rPr/>
              <w:t> </w:t>
            </w:r>
          </w:p>
          <w:p>
            <w:pPr>
              <w:pStyle w:val="TableContents"/>
              <w:bidi w:val="0"/>
              <w:spacing w:lineRule="atLeast" w:line="280" w:before="0" w:after="0"/>
              <w:jc w:val="left"/>
              <w:rPr>
                <w:color w:val="191919"/>
              </w:rPr>
            </w:pPr>
            <w:r>
              <w:rPr>
                <w:color w:val="0A7DAC"/>
              </w:rPr>
              <w:t>•</w:t>
            </w:r>
            <w:r>
              <w:rPr>
                <w:color w:val="191919"/>
              </w:rPr>
              <w:t>  </w:t>
            </w:r>
            <w:r>
              <w:rPr>
                <w:rFonts w:ascii="Arial" w:hAnsi="Arial"/>
                <w:color w:val="191919"/>
                <w:sz w:val="18"/>
              </w:rPr>
              <w:t>Each risk is evaluated for likelihood, impact, and control effectiveness, and risk tolerance data is collected</w:t>
            </w:r>
          </w:p>
          <w:p>
            <w:pPr>
              <w:pStyle w:val="TableContents"/>
              <w:bidi w:val="0"/>
              <w:spacing w:lineRule="atLeast" w:line="280" w:before="0" w:after="0"/>
              <w:jc w:val="left"/>
              <w:rPr>
                <w:color w:val="191919"/>
              </w:rPr>
            </w:pPr>
            <w:r>
              <w:rPr>
                <w:color w:val="0A7DAC"/>
              </w:rPr>
              <w:t>•</w:t>
            </w:r>
            <w:r>
              <w:rPr>
                <w:color w:val="191919"/>
              </w:rPr>
              <w:t>  </w:t>
            </w:r>
            <w:r>
              <w:rPr>
                <w:rFonts w:ascii="Arial" w:hAnsi="Arial"/>
                <w:color w:val="191919"/>
                <w:sz w:val="18"/>
              </w:rPr>
              <w:t>Prioritized risks listing assembled using analyzed respondent data</w:t>
            </w:r>
          </w:p>
          <w:p>
            <w:pPr>
              <w:pStyle w:val="TableContents"/>
              <w:bidi w:val="0"/>
              <w:spacing w:lineRule="atLeast" w:line="280" w:before="0" w:after="0"/>
              <w:jc w:val="left"/>
              <w:rPr>
                <w:color w:val="191919"/>
              </w:rPr>
            </w:pPr>
            <w:r>
              <w:rPr>
                <w:color w:val="0A7DAC"/>
              </w:rPr>
              <w:t>•</w:t>
            </w:r>
            <w:r>
              <w:rPr>
                <w:color w:val="191919"/>
              </w:rPr>
              <w:t>  “</w:t>
            </w:r>
            <w:r>
              <w:rPr>
                <w:rFonts w:ascii="Arial" w:hAnsi="Arial"/>
                <w:color w:val="191919"/>
                <w:sz w:val="18"/>
              </w:rPr>
              <w:t xml:space="preserve">Dashboards” developed for each prioritized risk, </w:t>
              <w:br/>
              <w:t>identifying risk owner, key risk indicators, and risk prevention and mitigation actions</w:t>
            </w:r>
          </w:p>
          <w:p>
            <w:pPr>
              <w:pStyle w:val="TableContents"/>
              <w:bidi w:val="0"/>
              <w:spacing w:lineRule="atLeast" w:line="280" w:before="0" w:after="0"/>
              <w:jc w:val="left"/>
              <w:rPr>
                <w:color w:val="191919"/>
              </w:rPr>
            </w:pPr>
            <w:r>
              <w:rPr>
                <w:color w:val="0A7DAC"/>
              </w:rPr>
              <w:t>•</w:t>
            </w:r>
            <w:r>
              <w:rPr>
                <w:color w:val="191919"/>
              </w:rPr>
              <w:t>  </w:t>
            </w:r>
            <w:r>
              <w:rPr>
                <w:rFonts w:ascii="Arial" w:hAnsi="Arial"/>
                <w:color w:val="191919"/>
                <w:sz w:val="18"/>
              </w:rPr>
              <w:t>The Company’s “risk culture” is evaluated for continual improvement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453" w:type="dxa"/>
            <w:tcBorders/>
            <w:vAlign w:val="center"/>
          </w:tcPr>
          <w:p>
            <w:pPr>
              <w:pStyle w:val="TableContents"/>
              <w:bidi w:val="0"/>
              <w:spacing w:before="0" w:after="283"/>
              <w:jc w:val="center"/>
              <w:rPr/>
            </w:pPr>
            <w:r>
              <w:rPr/>
              <w:drawing>
                <wp:inline distT="0" distB="0" distL="0" distR="0">
                  <wp:extent cx="3438525" cy="2123440"/>
                  <wp:effectExtent l="0" t="0" r="0" b="0"/>
                  <wp:docPr id="21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7" descr=""/>
                          <pic:cNvPicPr>
                            <a:picLocks noChangeAspect="1" noChangeArrowheads="1"/>
                          </pic:cNvPicPr>
                        </pic:nvPicPr>
                        <pic:blipFill>
                          <a:blip r:embed="rId208"/>
                          <a:stretch>
                            <a:fillRect/>
                          </a:stretch>
                        </pic:blipFill>
                        <pic:spPr bwMode="auto">
                          <a:xfrm>
                            <a:off x="0" y="0"/>
                            <a:ext cx="3438525" cy="212344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1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8" descr=""/>
                          <pic:cNvPicPr>
                            <a:picLocks noChangeAspect="1" noChangeArrowheads="1"/>
                          </pic:cNvPicPr>
                        </pic:nvPicPr>
                        <pic:blipFill>
                          <a:blip r:embed="rId20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Corporate Governance </w:t>
      </w:r>
    </w:p>
    <w:p>
      <w:pPr>
        <w:pStyle w:val="TextBody"/>
        <w:bidi w:val="0"/>
        <w:spacing w:before="0" w:after="0"/>
        <w:jc w:val="left"/>
        <w:rPr>
          <w:rFonts w:ascii="Arial" w:hAnsi="Arial"/>
          <w:sz w:val="16"/>
        </w:rPr>
      </w:pPr>
      <w:r>
        <w:rPr>
          <w:rFonts w:ascii="Arial" w:hAnsi="Arial"/>
          <w:sz w:val="16"/>
        </w:rPr>
        <w:t xml:space="preserve">Board Oversight of Risk Management </w:t>
      </w:r>
    </w:p>
    <w:p>
      <w:pPr>
        <w:pStyle w:val="TextBody"/>
        <w:bidi w:val="0"/>
        <w:spacing w:before="0" w:after="0"/>
        <w:jc w:val="left"/>
        <w:rPr/>
      </w:pPr>
      <w:r>
        <w:rPr/>
        <w:t> </w:t>
      </w:r>
    </w:p>
    <w:tbl>
      <w:tblPr>
        <w:tblW w:w="10205" w:type="dxa"/>
        <w:jc w:val="left"/>
        <w:tblInd w:w="0" w:type="dxa"/>
        <w:shd w:fill="EDEDED" w:val="clear"/>
        <w:tblLayout w:type="fixed"/>
        <w:tblCellMar>
          <w:top w:w="0" w:type="dxa"/>
          <w:left w:w="0" w:type="dxa"/>
          <w:bottom w:w="0" w:type="dxa"/>
          <w:right w:w="0" w:type="dxa"/>
        </w:tblCellMar>
      </w:tblPr>
      <w:tblGrid>
        <w:gridCol w:w="10205"/>
      </w:tblGrid>
      <w:tr>
        <w:trPr/>
        <w:tc>
          <w:tcPr>
            <w:tcW w:w="10205" w:type="dxa"/>
            <w:tcBorders/>
            <w:shd w:fill="EDEDED" w:val="clear"/>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A7DAC"/>
                <w:sz w:val="30"/>
              </w:rPr>
            </w:pPr>
            <w:r>
              <w:rPr>
                <w:rFonts w:ascii="Arial" w:hAnsi="Arial"/>
                <w:b/>
                <w:color w:val="0A7DAC"/>
                <w:sz w:val="30"/>
              </w:rPr>
              <w:t>Spotlight on Cybersecurity</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Cybersecurity is a critical component of the Company’s ERM program. The Company has established an information security framework to help safeguard the confidentiality, integrity, and access of its information assets and to ensure regulatory, contractual, and operational compliance. The Board oversees cybersecurity risk, and the Audit Committee oversees information security compliance as part of its broader compliance oversight mandate. Together they ensure that the Board has a comprehensive view of the Company’s cybersecurity risk profile and risk mitigation framework.</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The Board receives cybersecurity updates from senior management, including our head of Information Technology, at least twice per year, and the Audit Committee receives quarterly reports on any notable incidents or control issues that may have occurred during the quarter. The Company has experienced, and expects to continue experiencing, cyber threats and incidents; however, to date, no incidents have been material to the Company, and expenses incurred in response to incidents have been immaterial in any given fiscal year.</w:t>
            </w:r>
          </w:p>
          <w:p>
            <w:pPr>
              <w:pStyle w:val="TableContents"/>
              <w:bidi w:val="0"/>
              <w:spacing w:before="0" w:after="20"/>
              <w:jc w:val="left"/>
              <w:rPr/>
            </w:pPr>
            <w:r>
              <w:rPr/>
              <w:t> </w:t>
            </w:r>
          </w:p>
        </w:tc>
      </w:tr>
    </w:tbl>
    <w:p>
      <w:pPr>
        <w:pStyle w:val="TextBody"/>
        <w:bidi w:val="0"/>
        <w:spacing w:before="360" w:after="0"/>
        <w:jc w:val="left"/>
        <w:rPr>
          <w:rFonts w:ascii="Arial" w:hAnsi="Arial"/>
          <w:b/>
          <w:color w:val="7DB655"/>
          <w:sz w:val="30"/>
        </w:rPr>
      </w:pPr>
      <w:bookmarkStart w:id="14" w:name="toc36145_11"/>
      <w:bookmarkEnd w:id="14"/>
      <w:r>
        <w:rPr>
          <w:rFonts w:ascii="Arial" w:hAnsi="Arial"/>
          <w:b/>
          <w:color w:val="7DB655"/>
          <w:sz w:val="30"/>
        </w:rPr>
        <w:t xml:space="preserve">Corporate Sustainability, Culture &amp; Compliance </w:t>
      </w:r>
    </w:p>
    <w:p>
      <w:pPr>
        <w:pStyle w:val="TextBody"/>
        <w:bidi w:val="0"/>
        <w:spacing w:before="240" w:after="0"/>
        <w:jc w:val="left"/>
        <w:rPr>
          <w:rFonts w:ascii="Arial" w:hAnsi="Arial"/>
          <w:b/>
          <w:color w:val="191919"/>
          <w:sz w:val="26"/>
        </w:rPr>
      </w:pPr>
      <w:r>
        <w:rPr>
          <w:rFonts w:ascii="Arial" w:hAnsi="Arial"/>
          <w:b/>
          <w:color w:val="191919"/>
          <w:sz w:val="26"/>
        </w:rPr>
        <w:t xml:space="preserve">Environmental, Social and Governance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00"/>
        <w:gridCol w:w="120"/>
        <w:gridCol w:w="1985"/>
      </w:tblGrid>
      <w:tr>
        <w:trPr/>
        <w:tc>
          <w:tcPr>
            <w:tcW w:w="8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810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CSW’s Environmental, Social, and Governance (“ESG”) strategy is based on our belief that long-term shareholder value, sustainable growth, and social responsibility are interrelated. Corporate responsibility lies at the heart of our culture and speaks directly to our </w:t>
            </w:r>
            <w:r>
              <w:rPr>
                <w:rFonts w:ascii="Arial" w:hAnsi="Arial"/>
                <w:b/>
                <w:i/>
                <w:color w:val="191919"/>
                <w:sz w:val="18"/>
              </w:rPr>
              <w:t>ACT. RISE.</w:t>
            </w:r>
            <w:r>
              <w:rPr>
                <w:rFonts w:ascii="Arial" w:hAnsi="Arial"/>
                <w:color w:val="191919"/>
                <w:sz w:val="18"/>
              </w:rPr>
              <w:t xml:space="preserve"> core values: </w:t>
            </w:r>
            <w:r>
              <w:rPr>
                <w:rFonts w:ascii="Arial" w:hAnsi="Arial"/>
                <w:b/>
                <w:color w:val="191919"/>
                <w:sz w:val="18"/>
              </w:rPr>
              <w:t>Accountability, Citizenship, Teamwork, Respect, Integrity, Stewardship, and Excellence</w:t>
            </w:r>
            <w:r>
              <w:rPr>
                <w:rFonts w:ascii="Arial" w:hAnsi="Arial"/>
                <w:color w:val="191919"/>
                <w:sz w:val="18"/>
              </w:rPr>
              <w:t>. Driven by our executive leadership team, sustainability influences how we operate our business, take care of our people, and serve our customers. Our ESG initiatives are aligned with and inform the long-term strategies of our operating companies and corporate center. Additionally, ESG-related enterprise risks and opportunities are identified and addressed through our strategic processes, helping further align our initiatives and strategy.</w:t>
            </w:r>
          </w:p>
        </w:tc>
        <w:tc>
          <w:tcPr>
            <w:tcW w:w="120" w:type="dxa"/>
            <w:tcBorders/>
            <w:shd w:fill="EDEDED" w:val="clear"/>
            <w:vAlign w:val="center"/>
          </w:tcPr>
          <w:p>
            <w:pPr>
              <w:pStyle w:val="TableContents"/>
              <w:bidi w:val="0"/>
              <w:spacing w:before="0" w:after="283"/>
              <w:jc w:val="left"/>
              <w:rPr/>
            </w:pPr>
            <w:r>
              <w:rPr/>
              <w:t>  </w:t>
            </w:r>
          </w:p>
        </w:tc>
        <w:tc>
          <w:tcPr>
            <w:tcW w:w="1985" w:type="dxa"/>
            <w:tcBorders/>
            <w:shd w:fill="EDEDED" w:val="clear"/>
            <w:vAlign w:val="center"/>
          </w:tcPr>
          <w:p>
            <w:pPr>
              <w:pStyle w:val="TableContents"/>
              <w:bidi w:val="0"/>
              <w:spacing w:before="0" w:after="0"/>
              <w:jc w:val="left"/>
              <w:rPr>
                <w:rFonts w:ascii="Arial" w:hAnsi="Arial"/>
                <w:sz w:val="18"/>
              </w:rPr>
            </w:pPr>
            <w:r>
              <w:rPr>
                <w:rFonts w:ascii="Arial" w:hAnsi="Arial"/>
                <w:b/>
                <w:color w:val="7DB655"/>
                <w:sz w:val="18"/>
              </w:rPr>
              <w:t xml:space="preserve">Corporate sustainability lies at the heart of our culture and speaks directly to our </w:t>
            </w:r>
            <w:r>
              <w:rPr>
                <w:rFonts w:ascii="Arial" w:hAnsi="Arial"/>
                <w:b/>
                <w:i/>
                <w:sz w:val="18"/>
              </w:rPr>
              <w:t>ACT. RISE.</w:t>
            </w:r>
            <w:r>
              <w:rPr>
                <w:rFonts w:ascii="Arial" w:hAnsi="Arial"/>
                <w:color w:val="7DB655"/>
                <w:sz w:val="18"/>
              </w:rPr>
              <w:t xml:space="preserve"> </w:t>
            </w:r>
            <w:r>
              <w:rPr>
                <w:rFonts w:ascii="Arial" w:hAnsi="Arial"/>
                <w:b/>
                <w:color w:val="7DB655"/>
                <w:sz w:val="18"/>
              </w:rPr>
              <w:t>core values</w:t>
            </w:r>
          </w:p>
        </w:tc>
      </w:tr>
    </w:tbl>
    <w:p>
      <w:pPr>
        <w:pStyle w:val="TextBody"/>
        <w:bidi w:val="0"/>
        <w:spacing w:before="240" w:after="0"/>
        <w:jc w:val="left"/>
        <w:rPr>
          <w:rFonts w:ascii="Arial" w:hAnsi="Arial"/>
          <w:color w:val="191919"/>
          <w:sz w:val="18"/>
        </w:rPr>
      </w:pPr>
      <w:r>
        <w:rPr>
          <w:rFonts w:ascii="Arial" w:hAnsi="Arial"/>
          <w:color w:val="191919"/>
          <w:sz w:val="18"/>
        </w:rPr>
        <w:t xml:space="preserve">Our Board’s proactive engagement and oversight on ESG matters is demonstrated in the following ways: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657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Our N&amp;CG Committee has primary oversight responsibility for our ESG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Our Board and its committees engage at least quarterly with our executive team members having responsibility to present and discuss various ESG topics. In the past year, management has presented to the Board and its committees on initiatives such as business continuity, environmental compliance, employee health and safety, gender pay equity, employee engagement, and employee welfare programs.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9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911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Our Audit Committee and Board have direct engagement with ESG risk areas through our robust ERM program. </w:t>
            </w:r>
          </w:p>
        </w:tc>
      </w:tr>
    </w:tbl>
    <w:p>
      <w:pPr>
        <w:pStyle w:val="TextBody"/>
        <w:bidi w:val="0"/>
        <w:spacing w:before="360" w:after="0"/>
        <w:jc w:val="left"/>
        <w:rPr>
          <w:rFonts w:ascii="Arial" w:hAnsi="Arial"/>
          <w:b/>
          <w:color w:val="0A7DAC"/>
          <w:sz w:val="25"/>
        </w:rPr>
      </w:pPr>
      <w:r>
        <w:rPr>
          <w:rFonts w:ascii="Arial" w:hAnsi="Arial"/>
          <w:b/>
          <w:color w:val="0A7DAC"/>
          <w:sz w:val="25"/>
        </w:rPr>
        <w:t xml:space="preserve">Commitment to Environmental Stewardship </w:t>
      </w:r>
    </w:p>
    <w:p>
      <w:pPr>
        <w:pStyle w:val="TextBody"/>
        <w:bidi w:val="0"/>
        <w:spacing w:before="240" w:after="0"/>
        <w:jc w:val="left"/>
        <w:rPr>
          <w:rFonts w:ascii="Arial" w:hAnsi="Arial"/>
          <w:color w:val="191919"/>
          <w:sz w:val="18"/>
        </w:rPr>
      </w:pPr>
      <w:r>
        <w:rPr>
          <w:rFonts w:ascii="Arial" w:hAnsi="Arial"/>
          <w:color w:val="191919"/>
          <w:sz w:val="18"/>
        </w:rPr>
        <w:t xml:space="preserve">We are committed to being good stewards of the environment. We demonstrate our commitment by actively working to reduce the environmental impact of our operations and by providing environmentally responsible products and services to our customers. Our products help our customers protect and reduce emissions from industrial systems and mission-critical equipment; improve the energy efficiency and resource consumption of HVAC/R, plumbing, and electrical systems; and make commercial and residential buildings safer for occupants and their surrounding communities. Additionally, certain manufacturing facilities within our operating companies are ISO 9001 and 14001 certified. </w:t>
      </w:r>
    </w:p>
    <w:p>
      <w:pPr>
        <w:pStyle w:val="TextBody"/>
        <w:bidi w:val="0"/>
        <w:spacing w:before="60" w:after="0"/>
        <w:jc w:val="left"/>
        <w:rPr>
          <w:rFonts w:ascii="Arial" w:hAnsi="Arial"/>
          <w:color w:val="191919"/>
          <w:sz w:val="18"/>
        </w:rPr>
      </w:pPr>
      <w:r>
        <w:rPr>
          <w:rFonts w:ascii="Arial" w:hAnsi="Arial"/>
          <w:color w:val="191919"/>
          <w:sz w:val="18"/>
        </w:rPr>
        <w:t xml:space="preserve">Our environment-focused initiatives have included and continue to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Reducing overall energy consumption as a percentage of sales and increasing the amount of consumed electricity that is generated from renewable sources, such as solar and wind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25"/>
        <w:gridCol w:w="5105"/>
      </w:tblGrid>
      <w:tr>
        <w:trPr/>
        <w:tc>
          <w:tcPr>
            <w:tcW w:w="125" w:type="dxa"/>
            <w:tcBorders/>
            <w:vAlign w:val="center"/>
          </w:tcPr>
          <w:p>
            <w:pPr>
              <w:pStyle w:val="TableContents"/>
              <w:bidi w:val="0"/>
              <w:spacing w:before="0" w:after="283"/>
              <w:jc w:val="left"/>
              <w:rPr>
                <w:color w:val="0A7DAC"/>
              </w:rPr>
            </w:pPr>
            <w:r>
              <w:rPr>
                <w:color w:val="0A7DAC"/>
              </w:rPr>
              <w:t>•</w:t>
            </w:r>
          </w:p>
        </w:tc>
        <w:tc>
          <w:tcPr>
            <w:tcW w:w="510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Reducing overall water consumption as a percentage of sales </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1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9" descr=""/>
                          <pic:cNvPicPr>
                            <a:picLocks noChangeAspect="1" noChangeArrowheads="1"/>
                          </pic:cNvPicPr>
                        </pic:nvPicPr>
                        <pic:blipFill>
                          <a:blip r:embed="rId210"/>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Corporate Governance </w:t>
      </w:r>
    </w:p>
    <w:p>
      <w:pPr>
        <w:pStyle w:val="TextBody"/>
        <w:bidi w:val="0"/>
        <w:spacing w:before="0" w:after="0"/>
        <w:jc w:val="right"/>
        <w:rPr>
          <w:rFonts w:ascii="Arial" w:hAnsi="Arial"/>
          <w:sz w:val="16"/>
        </w:rPr>
      </w:pPr>
      <w:r>
        <w:rPr>
          <w:rFonts w:ascii="Arial" w:hAnsi="Arial"/>
          <w:sz w:val="16"/>
        </w:rPr>
        <w:t xml:space="preserve">Corporate Sustainability, Culture &amp; Compliance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Reducing solid, liquid and air discharges, including continuing and increasing our efforts to improve air quality by reducing VOC emissions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A7DAC"/>
              </w:rPr>
            </w:pPr>
            <w:r>
              <w:rPr>
                <w:color w:val="0A7DAC"/>
              </w:rPr>
              <w:t>•</w:t>
            </w:r>
          </w:p>
        </w:tc>
        <w:tc>
          <w:tcPr>
            <w:tcW w:w="100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Reducing the amount of scrap and non-recyclable waste generated by our operations by increasing the use of rework and recycled metal and materials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125"/>
        <w:gridCol w:w="5855"/>
      </w:tblGrid>
      <w:tr>
        <w:trPr/>
        <w:tc>
          <w:tcPr>
            <w:tcW w:w="125" w:type="dxa"/>
            <w:tcBorders/>
            <w:vAlign w:val="center"/>
          </w:tcPr>
          <w:p>
            <w:pPr>
              <w:pStyle w:val="TableContents"/>
              <w:bidi w:val="0"/>
              <w:spacing w:before="0" w:after="283"/>
              <w:jc w:val="left"/>
              <w:rPr>
                <w:color w:val="0A7DAC"/>
              </w:rPr>
            </w:pPr>
            <w:r>
              <w:rPr>
                <w:color w:val="0A7DAC"/>
              </w:rPr>
              <w:t>•</w:t>
            </w:r>
          </w:p>
        </w:tc>
        <w:tc>
          <w:tcPr>
            <w:tcW w:w="585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Increasing ISO 9001 and 14001 certifications at manufacturing facilities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125"/>
        <w:gridCol w:w="4370"/>
      </w:tblGrid>
      <w:tr>
        <w:trPr/>
        <w:tc>
          <w:tcPr>
            <w:tcW w:w="125" w:type="dxa"/>
            <w:tcBorders/>
            <w:vAlign w:val="center"/>
          </w:tcPr>
          <w:p>
            <w:pPr>
              <w:pStyle w:val="TableContents"/>
              <w:bidi w:val="0"/>
              <w:spacing w:before="0" w:after="283"/>
              <w:jc w:val="left"/>
              <w:rPr>
                <w:color w:val="0A7DAC"/>
              </w:rPr>
            </w:pPr>
            <w:r>
              <w:rPr>
                <w:color w:val="0A7DAC"/>
              </w:rPr>
              <w:t>•</w:t>
            </w:r>
          </w:p>
        </w:tc>
        <w:tc>
          <w:tcPr>
            <w:tcW w:w="43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Expanding LEED certifications for product categories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125"/>
        <w:gridCol w:w="8945"/>
      </w:tblGrid>
      <w:tr>
        <w:trPr/>
        <w:tc>
          <w:tcPr>
            <w:tcW w:w="125" w:type="dxa"/>
            <w:tcBorders/>
            <w:vAlign w:val="center"/>
          </w:tcPr>
          <w:p>
            <w:pPr>
              <w:pStyle w:val="TableContents"/>
              <w:bidi w:val="0"/>
              <w:spacing w:before="0" w:after="283"/>
              <w:jc w:val="left"/>
              <w:rPr>
                <w:color w:val="0A7DAC"/>
              </w:rPr>
            </w:pPr>
            <w:r>
              <w:rPr>
                <w:color w:val="0A7DAC"/>
              </w:rPr>
              <w:t>•</w:t>
            </w:r>
          </w:p>
        </w:tc>
        <w:tc>
          <w:tcPr>
            <w:tcW w:w="894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Increasing usage of CSW-produced environmentally-friendly lubricants in manufactured mechanical products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125"/>
        <w:gridCol w:w="7970"/>
      </w:tblGrid>
      <w:tr>
        <w:trPr/>
        <w:tc>
          <w:tcPr>
            <w:tcW w:w="125" w:type="dxa"/>
            <w:tcBorders/>
            <w:vAlign w:val="center"/>
          </w:tcPr>
          <w:p>
            <w:pPr>
              <w:pStyle w:val="TableContents"/>
              <w:bidi w:val="0"/>
              <w:spacing w:before="0" w:after="283"/>
              <w:jc w:val="left"/>
              <w:rPr>
                <w:color w:val="0A7DAC"/>
              </w:rPr>
            </w:pPr>
            <w:r>
              <w:rPr>
                <w:color w:val="0A7DAC"/>
              </w:rPr>
              <w:t>•</w:t>
            </w:r>
          </w:p>
        </w:tc>
        <w:tc>
          <w:tcPr>
            <w:tcW w:w="79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Increasing usage of environmentally-friendly cleaners and chemicals in manufacturing processes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125"/>
        <w:gridCol w:w="6050"/>
      </w:tblGrid>
      <w:tr>
        <w:trPr/>
        <w:tc>
          <w:tcPr>
            <w:tcW w:w="125" w:type="dxa"/>
            <w:tcBorders/>
            <w:vAlign w:val="center"/>
          </w:tcPr>
          <w:p>
            <w:pPr>
              <w:pStyle w:val="TableContents"/>
              <w:bidi w:val="0"/>
              <w:spacing w:before="0" w:after="283"/>
              <w:jc w:val="left"/>
              <w:rPr>
                <w:color w:val="0A7DAC"/>
              </w:rPr>
            </w:pPr>
            <w:r>
              <w:rPr>
                <w:color w:val="0A7DAC"/>
              </w:rPr>
              <w:t>•</w:t>
            </w:r>
          </w:p>
        </w:tc>
        <w:tc>
          <w:tcPr>
            <w:tcW w:w="605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Reducing hazardous waste generation as a percentage of finished goods </w:t>
            </w:r>
          </w:p>
        </w:tc>
      </w:tr>
    </w:tbl>
    <w:p>
      <w:pPr>
        <w:pStyle w:val="TextBody"/>
        <w:bidi w:val="0"/>
        <w:spacing w:before="240" w:after="0"/>
        <w:jc w:val="left"/>
        <w:rPr>
          <w:rFonts w:ascii="Arial" w:hAnsi="Arial"/>
          <w:color w:val="191919"/>
          <w:sz w:val="18"/>
        </w:rPr>
      </w:pPr>
      <w:r>
        <w:rPr>
          <w:rFonts w:ascii="Arial" w:hAnsi="Arial"/>
          <w:color w:val="191919"/>
          <w:sz w:val="18"/>
        </w:rPr>
        <w:t xml:space="preserve">We provide additional details regarding our energy usage, resource consumption, and greenhouse gas emissions on our Corporate Sustainability webpage within our corporate website at www.csw.com. </w:t>
      </w:r>
    </w:p>
    <w:p>
      <w:pPr>
        <w:pStyle w:val="TextBody"/>
        <w:bidi w:val="0"/>
        <w:spacing w:before="360" w:after="0"/>
        <w:jc w:val="left"/>
        <w:rPr>
          <w:rFonts w:ascii="Arial" w:hAnsi="Arial"/>
          <w:b/>
          <w:color w:val="0A7DAC"/>
          <w:sz w:val="25"/>
        </w:rPr>
      </w:pPr>
      <w:r>
        <w:rPr>
          <w:rFonts w:ascii="Arial" w:hAnsi="Arial"/>
          <w:b/>
          <w:color w:val="0A7DAC"/>
          <w:sz w:val="25"/>
        </w:rPr>
        <w:t xml:space="preserve">Commitment to Our Employees and Communities </w:t>
      </w:r>
    </w:p>
    <w:p>
      <w:pPr>
        <w:pStyle w:val="TextBody"/>
        <w:bidi w:val="0"/>
        <w:spacing w:before="240" w:after="0"/>
        <w:jc w:val="left"/>
        <w:rPr>
          <w:rFonts w:ascii="Arial" w:hAnsi="Arial"/>
          <w:color w:val="191919"/>
          <w:sz w:val="18"/>
        </w:rPr>
      </w:pPr>
      <w:r>
        <w:rPr>
          <w:rFonts w:ascii="Arial" w:hAnsi="Arial"/>
          <w:color w:val="191919"/>
          <w:sz w:val="18"/>
        </w:rPr>
        <w:t xml:space="preserve">At CSW, how we succeed matters. We live out our commitment to doing the right things the right way by first taking care of the health, safety, and wellbeing of our employees—our most valuable asset. We view this duty holistically and address it on multiple fronts, including through competitive total rewards compensation, providing comprehensive benefits and retirement plans, offering employer-subsidized healthcare coverage and defined contribution benefit plans with profit sharing, requiring health and safety training and programs, and offering training and development, including job skills and compliance training, leadership training, and advancement opportunities. </w:t>
      </w:r>
    </w:p>
    <w:p>
      <w:pPr>
        <w:pStyle w:val="TextBody"/>
        <w:bidi w:val="0"/>
        <w:spacing w:before="240" w:after="0"/>
        <w:jc w:val="left"/>
        <w:rPr>
          <w:rFonts w:ascii="Arial" w:hAnsi="Arial"/>
          <w:color w:val="191919"/>
          <w:sz w:val="18"/>
        </w:rPr>
      </w:pPr>
      <w:r>
        <w:rPr>
          <w:rFonts w:ascii="Arial" w:hAnsi="Arial"/>
          <w:color w:val="191919"/>
          <w:sz w:val="18"/>
        </w:rPr>
        <w:t xml:space="preserve">In fiscal 2026, we demonstrated our commitment to our employees in numerous ways, which included: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Continued to promote equal employment opportunities in all our operations, which begins with our employee recruiting process and continues through our employees’ relationship with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Continued to provide Company-subsidized medical, dental, vision, life, short-term and long-term disability insurance plans, as well as paid supplemental life and accident insurance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Assessed employee engagement through targeted surveys, providing feedback on subjects including safety, communications, performance management, development opportunities, respect and recognition and management support, with 82% of our employees participating in our fiscal 2026 survey conducted through Great Place to Work®. In March 2026, we received the Great Place to Work® CertificationTM for the fourth consecutive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Continued to provide developmental opportunities to help our employees build the skills necessary to reach their career goals, including on-the-job training, online learning, professional memberships, and leadership and management training.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900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Achieved a Company-wide voluntary retention rate of 85%, well in excess of manufacturing industry averages.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603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Held our fifth annual Safety Awareness Month with supplemental training. </w:t>
            </w:r>
          </w:p>
        </w:tc>
      </w:tr>
    </w:tbl>
    <w:p>
      <w:pPr>
        <w:pStyle w:val="TextBody"/>
        <w:bidi w:val="0"/>
        <w:spacing w:before="240" w:after="0"/>
        <w:jc w:val="left"/>
        <w:rPr>
          <w:rFonts w:ascii="Arial" w:hAnsi="Arial"/>
          <w:color w:val="191919"/>
          <w:sz w:val="18"/>
        </w:rPr>
      </w:pPr>
      <w:r>
        <w:rPr>
          <w:rFonts w:ascii="Arial" w:hAnsi="Arial"/>
          <w:color w:val="191919"/>
          <w:sz w:val="18"/>
        </w:rPr>
        <w:t xml:space="preserve">Demonstrating our commitment to creating and maintaining a safe, healthy working environment, we delivered a Total Recordable Incident Rate (“TRIR”) of 1.1 at the end of calendar 2025, which was a slight improvement compared to calendar 2024, even as we integrated newly acquired businesses and brought their safety programs up to our high standards. We delivered a Lost Time Incident Rate (“LTIR”) of 0.18, consistent with our historically positive LTIR performance levels. Through the first three months of calendar 2026 (the end of our fiscal year), our TRIR was 1.0 and our LTIR was 0.09, demonstrating our consistent, sharp focus on safety performance and improving the safety performance of acquired companies.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1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0" descr=""/>
                          <pic:cNvPicPr>
                            <a:picLocks noChangeAspect="1" noChangeArrowheads="1"/>
                          </pic:cNvPicPr>
                        </pic:nvPicPr>
                        <pic:blipFill>
                          <a:blip r:embed="rId21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Corporate Governance </w:t>
      </w:r>
    </w:p>
    <w:p>
      <w:pPr>
        <w:pStyle w:val="TextBody"/>
        <w:bidi w:val="0"/>
        <w:spacing w:before="0" w:after="0"/>
        <w:jc w:val="left"/>
        <w:rPr>
          <w:rFonts w:ascii="Arial" w:hAnsi="Arial"/>
          <w:sz w:val="16"/>
        </w:rPr>
      </w:pPr>
      <w:r>
        <w:rPr>
          <w:rFonts w:ascii="Arial" w:hAnsi="Arial"/>
          <w:sz w:val="16"/>
        </w:rPr>
        <w:t xml:space="preserve">Corporate Sustainability, Culture &amp; Compliance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In fiscal 2026, we maintained our comprehensive and competitive retirement and benefit programs. Since our inception, we have provided a 100% match of employee contributions to our 401(k) plan up to 6% of compensation, as well as an additional 7% to 11% of eligible compensation each year through profit sharing benefit programs, including our Employee Stock Ownership Plan (“ESOP”), which strongly aligns our employees’ interests with those of our shareholders. This equates to 13% to 17% of each employee’s annual eligible compensation that we invest to help provide a safe, secure, and dignified retirement. </w:t>
      </w:r>
    </w:p>
    <w:p>
      <w:pPr>
        <w:pStyle w:val="TextBody"/>
        <w:bidi w:val="0"/>
        <w:spacing w:before="240" w:after="0"/>
        <w:jc w:val="left"/>
        <w:rPr>
          <w:rFonts w:ascii="Arial" w:hAnsi="Arial"/>
          <w:b/>
          <w:color w:val="0A7DAC"/>
          <w:sz w:val="25"/>
        </w:rPr>
      </w:pPr>
      <w:r>
        <w:rPr>
          <w:rFonts w:ascii="Arial" w:hAnsi="Arial"/>
          <w:b/>
          <w:color w:val="0A7DAC"/>
          <w:sz w:val="25"/>
        </w:rPr>
        <w:t xml:space="preserve">Commitment to Sound Governance Practices </w:t>
      </w:r>
    </w:p>
    <w:p>
      <w:pPr>
        <w:pStyle w:val="TextBody"/>
        <w:bidi w:val="0"/>
        <w:spacing w:before="240" w:after="0"/>
        <w:jc w:val="left"/>
        <w:rPr>
          <w:rFonts w:ascii="Arial" w:hAnsi="Arial"/>
          <w:color w:val="191919"/>
          <w:sz w:val="18"/>
        </w:rPr>
      </w:pPr>
      <w:r>
        <w:rPr>
          <w:rFonts w:ascii="Arial" w:hAnsi="Arial"/>
          <w:color w:val="191919"/>
          <w:sz w:val="18"/>
        </w:rPr>
        <w:t xml:space="preserve">Sound governance practices are foundational to any high performing organization. We believe the principles and policies described throughout this Proxy Statement clearly demonstrate our commitment to thoughtful, value-focused governance that helps us effectively manage our enterprise risks and ultimately preserve and create shareholder value. </w:t>
      </w:r>
    </w:p>
    <w:p>
      <w:pPr>
        <w:pStyle w:val="TextBody"/>
        <w:bidi w:val="0"/>
        <w:spacing w:before="240" w:after="0"/>
        <w:jc w:val="left"/>
        <w:rPr>
          <w:rFonts w:ascii="Arial" w:hAnsi="Arial"/>
          <w:b/>
          <w:color w:val="191919"/>
          <w:sz w:val="26"/>
        </w:rPr>
      </w:pPr>
      <w:r>
        <w:rPr>
          <w:rFonts w:ascii="Arial" w:hAnsi="Arial"/>
          <w:b/>
          <w:color w:val="191919"/>
          <w:sz w:val="26"/>
        </w:rPr>
        <w:t xml:space="preserve">Shareholder Communications with the Board </w:t>
      </w:r>
    </w:p>
    <w:p>
      <w:pPr>
        <w:pStyle w:val="TextBody"/>
        <w:bidi w:val="0"/>
        <w:spacing w:before="240" w:after="0"/>
        <w:jc w:val="left"/>
        <w:rPr>
          <w:rFonts w:ascii="Arial" w:hAnsi="Arial"/>
          <w:color w:val="191919"/>
          <w:sz w:val="18"/>
        </w:rPr>
      </w:pPr>
      <w:r>
        <w:rPr>
          <w:rFonts w:ascii="Arial" w:hAnsi="Arial"/>
          <w:color w:val="191919"/>
          <w:sz w:val="18"/>
        </w:rPr>
        <w:t xml:space="preserve">Shareholders and other interested parties may communicate with the Board directly by writing to: Lead Independent Director, c/o CSW Industrials’ Corporate Secretary, CSW Industrials, Inc., 5420 Lyndon B. Johnson Freeway, Suite 500, Dallas, Texas 75240. All such communications will be delivered to our Lead Independent Director. </w:t>
      </w:r>
    </w:p>
    <w:p>
      <w:pPr>
        <w:pStyle w:val="TextBody"/>
        <w:bidi w:val="0"/>
        <w:spacing w:before="360" w:after="0"/>
        <w:jc w:val="left"/>
        <w:rPr>
          <w:rFonts w:ascii="Arial" w:hAnsi="Arial"/>
          <w:b/>
          <w:color w:val="7DB655"/>
          <w:sz w:val="30"/>
        </w:rPr>
      </w:pPr>
      <w:bookmarkStart w:id="15" w:name="toc36145_12"/>
      <w:bookmarkEnd w:id="15"/>
      <w:r>
        <w:rPr>
          <w:rFonts w:ascii="Arial" w:hAnsi="Arial"/>
          <w:b/>
          <w:color w:val="7DB655"/>
          <w:sz w:val="30"/>
        </w:rPr>
        <w:t xml:space="preserve">Other Governance Policies and Practices </w:t>
      </w:r>
    </w:p>
    <w:p>
      <w:pPr>
        <w:pStyle w:val="TextBody"/>
        <w:bidi w:val="0"/>
        <w:spacing w:before="240" w:after="0"/>
        <w:jc w:val="left"/>
        <w:rPr>
          <w:rFonts w:ascii="Arial" w:hAnsi="Arial"/>
          <w:b/>
          <w:color w:val="191919"/>
          <w:sz w:val="26"/>
        </w:rPr>
      </w:pPr>
      <w:r>
        <w:rPr>
          <w:rFonts w:ascii="Arial" w:hAnsi="Arial"/>
          <w:b/>
          <w:color w:val="191919"/>
          <w:sz w:val="26"/>
        </w:rPr>
        <w:t xml:space="preserve">Integrity and Ethics </w:t>
      </w:r>
    </w:p>
    <w:p>
      <w:pPr>
        <w:pStyle w:val="TextBody"/>
        <w:bidi w:val="0"/>
        <w:spacing w:before="240" w:after="0"/>
        <w:jc w:val="left"/>
        <w:rPr>
          <w:rFonts w:ascii="Arial" w:hAnsi="Arial"/>
          <w:color w:val="191919"/>
          <w:sz w:val="18"/>
        </w:rPr>
      </w:pPr>
      <w:r>
        <w:rPr>
          <w:rFonts w:ascii="Arial" w:hAnsi="Arial"/>
          <w:color w:val="191919"/>
          <w:sz w:val="18"/>
        </w:rPr>
        <w:t xml:space="preserve">Our </w:t>
      </w:r>
      <w:r>
        <w:rPr>
          <w:rFonts w:ascii="Arial" w:hAnsi="Arial"/>
          <w:b/>
          <w:i/>
          <w:color w:val="191919"/>
          <w:sz w:val="18"/>
        </w:rPr>
        <w:t>ACT. RISE.</w:t>
      </w:r>
      <w:r>
        <w:rPr>
          <w:rFonts w:ascii="Arial" w:hAnsi="Arial"/>
          <w:color w:val="191919"/>
          <w:sz w:val="18"/>
        </w:rPr>
        <w:t xml:space="preserve"> core values form the foundation for our decentralized, entrepreneurial culture, and our Code of Business Conduct represents our shared commitment to living out these core values with the highest level of ethical conduct. Our Board and all our employees across the globe, including our executive officers, are required to abide by our Code of Business Conduct to ensure that our business is conducted in a consistently legal and ethical manner. Our Code of Business Conduct covers many topics, including conflicts of interest, anticorruption, financial reporting, confidentiality, insider trading, antitrust and competition law, cybersecurity and information security, appropriate use of social media, and respect in the workplace. All employees receive online and in-person training on all topics addressed in our Code of Business Conduct every year, and they are required to certify that they will comply with our Code of Business Conduct. </w:t>
      </w:r>
    </w:p>
    <w:p>
      <w:pPr>
        <w:pStyle w:val="TextBody"/>
        <w:bidi w:val="0"/>
        <w:spacing w:before="240" w:after="0"/>
        <w:jc w:val="left"/>
        <w:rPr>
          <w:rFonts w:ascii="Arial" w:hAnsi="Arial"/>
          <w:color w:val="191919"/>
          <w:sz w:val="18"/>
        </w:rPr>
      </w:pPr>
      <w:r>
        <w:rPr>
          <w:rFonts w:ascii="Arial" w:hAnsi="Arial"/>
          <w:color w:val="191919"/>
          <w:sz w:val="18"/>
        </w:rPr>
        <w:t xml:space="preserve">Employees are required to report any conduct that they believe in good faith violates our Code of Business Conduct. Through our Ethics Hotline, the Audit Committee has adopted procedures to receive and address complaints related to accounting policy, internal controls, auditing matters or fraud, and to enable the confidential and anonymous submission by employees or others of concerns relating to questionable accounting or auditing matters. Information on how to submit any such communications through our Ethics Hotline is on the Company’s website at </w:t>
      </w:r>
      <w:r>
        <w:rPr>
          <w:rFonts w:ascii="Arial" w:hAnsi="Arial"/>
          <w:b/>
          <w:color w:val="191919"/>
          <w:sz w:val="18"/>
        </w:rPr>
        <w:t>www.csw.com</w:t>
      </w:r>
      <w:r>
        <w:rPr>
          <w:rFonts w:ascii="Arial" w:hAnsi="Arial"/>
          <w:color w:val="191919"/>
          <w:sz w:val="18"/>
        </w:rPr>
        <w:t xml:space="preserve"> under “Investors — Corporate Governance,” and also is available through </w:t>
      </w:r>
      <w:r>
        <w:rPr>
          <w:rFonts w:ascii="Arial" w:hAnsi="Arial"/>
          <w:b/>
          <w:color w:val="191919"/>
          <w:sz w:val="18"/>
        </w:rPr>
        <w:t>cswindustrials.ethicspoint.com</w:t>
      </w:r>
      <w:r>
        <w:rPr>
          <w:rFonts w:ascii="Arial" w:hAnsi="Arial"/>
          <w:color w:val="191919"/>
          <w:sz w:val="18"/>
        </w:rPr>
        <w:t xml:space="preserve">. Our Senior Vice President and General Counsel, who serves as our chief compliance officer, reports directly to the Audit Committee on compliance matters, and periodically updates the Audit Committee on compliance with the Company’s Code of Business Conduct, including the overall effectiveness of the Company’s compliance program. </w:t>
      </w:r>
    </w:p>
    <w:p>
      <w:pPr>
        <w:pStyle w:val="TextBody"/>
        <w:bidi w:val="0"/>
        <w:spacing w:before="240" w:after="0"/>
        <w:jc w:val="left"/>
        <w:rPr>
          <w:rFonts w:ascii="Arial" w:hAnsi="Arial"/>
          <w:color w:val="191919"/>
          <w:sz w:val="18"/>
        </w:rPr>
      </w:pPr>
      <w:r>
        <w:rPr>
          <w:rFonts w:ascii="Arial" w:hAnsi="Arial"/>
          <w:color w:val="191919"/>
          <w:sz w:val="18"/>
        </w:rPr>
        <w:t xml:space="preserve">Our integrity and compliance program also includes, among other elements, a Business Partner Code of Conduct that extends to our operating companies’ global supply chains. The Business Partner Code of Conduct reinforces our expectation that suppliers and other business partners will live up to our high standards of integrity and compliance, including our policies regarding Conflict Minerals, Human Rights, and Environmental, Health and Safety. Business partners are monitored according to these standards, and if found to be deficient, are issued a corrective action plan or are replaced.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1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1" descr=""/>
                          <pic:cNvPicPr>
                            <a:picLocks noChangeAspect="1" noChangeArrowheads="1"/>
                          </pic:cNvPicPr>
                        </pic:nvPicPr>
                        <pic:blipFill>
                          <a:blip r:embed="rId21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Corporate Governance </w:t>
      </w:r>
    </w:p>
    <w:p>
      <w:pPr>
        <w:pStyle w:val="TextBody"/>
        <w:bidi w:val="0"/>
        <w:spacing w:before="0" w:after="0"/>
        <w:jc w:val="right"/>
        <w:rPr>
          <w:rFonts w:ascii="Arial" w:hAnsi="Arial"/>
          <w:sz w:val="16"/>
        </w:rPr>
      </w:pPr>
      <w:r>
        <w:rPr>
          <w:rFonts w:ascii="Arial" w:hAnsi="Arial"/>
          <w:sz w:val="16"/>
        </w:rPr>
        <w:t xml:space="preserve">Other Governance Policies and Practices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Certain Relationships and Related Transactions </w:t>
      </w:r>
    </w:p>
    <w:p>
      <w:pPr>
        <w:pStyle w:val="TextBody"/>
        <w:bidi w:val="0"/>
        <w:spacing w:before="240" w:after="0"/>
        <w:jc w:val="left"/>
        <w:rPr>
          <w:rFonts w:ascii="Arial" w:hAnsi="Arial"/>
          <w:color w:val="191919"/>
          <w:sz w:val="18"/>
        </w:rPr>
      </w:pPr>
      <w:r>
        <w:rPr>
          <w:rFonts w:ascii="Arial" w:hAnsi="Arial"/>
          <w:color w:val="191919"/>
          <w:sz w:val="18"/>
        </w:rPr>
        <w:t xml:space="preserve">The Company has adopted a written policy for approval of transactions between the Company and its directors, director nominees, executive officers, greater-than-5% beneficial owners, and their respective immediate family members, where the amount involved in the transaction exceeds or is expected to exceed $120,000 in a single calendar year. </w:t>
      </w:r>
    </w:p>
    <w:p>
      <w:pPr>
        <w:pStyle w:val="TextBody"/>
        <w:bidi w:val="0"/>
        <w:spacing w:before="240" w:after="0"/>
        <w:jc w:val="left"/>
        <w:rPr>
          <w:rFonts w:ascii="Arial" w:hAnsi="Arial"/>
          <w:color w:val="191919"/>
          <w:sz w:val="18"/>
        </w:rPr>
      </w:pPr>
      <w:r>
        <w:rPr>
          <w:rFonts w:ascii="Arial" w:hAnsi="Arial"/>
          <w:color w:val="191919"/>
          <w:sz w:val="18"/>
        </w:rPr>
        <w:t xml:space="preserve">The policy provides that the N&amp;CG Committee reviews transactions subject to the policy and determines whether to approve or ratify those transactions. In doing so, the N&amp;CG Committee takes into account, among other factors it deems appropriate, whether a transaction is on terms that are no less favorable to the Company than terms generally available to an unaffiliated third party under the same or similar circumstances and the extent of the related person’s interest in the transaction. In addition, the Board has delegated authority to the Chairman of the N&amp;CG Committee to pre-approve or ratify transactions where the aggregate amount involved is expected to be less than $1 million. A summary of any new transactions pre-approved by the Chairman is provided to the full N&amp;CG Committee for its review in connection with each regularly scheduled N&amp;CG Committee meeting. </w:t>
      </w:r>
    </w:p>
    <w:p>
      <w:pPr>
        <w:pStyle w:val="TextBody"/>
        <w:bidi w:val="0"/>
        <w:spacing w:before="240" w:after="0"/>
        <w:jc w:val="left"/>
        <w:rPr>
          <w:rFonts w:ascii="Arial" w:hAnsi="Arial"/>
          <w:color w:val="191919"/>
          <w:sz w:val="18"/>
        </w:rPr>
      </w:pPr>
      <w:r>
        <w:rPr>
          <w:rFonts w:ascii="Arial" w:hAnsi="Arial"/>
          <w:color w:val="191919"/>
          <w:sz w:val="18"/>
        </w:rPr>
        <w:t xml:space="preserve">The N&amp;CG Committee has considered and adopted standing pre-approvals under the policy for limited transactions with related persons. Pre-approved transactions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business transactions with other companies in which a related person’s only relationship is as an employee, director or less-than-10% beneficial owner if the amount of business falls below the thresholds in the NYSE’s listing standards and the Company’s director independence standards;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charitable contributions, grants, or endowments to a charitable organization where a related person is an employee if the aggregate amount involved does not exceed the greater of $1 million or 2% of the organization’s total annual receipts. </w:t>
            </w:r>
          </w:p>
        </w:tc>
      </w:tr>
    </w:tbl>
    <w:p>
      <w:pPr>
        <w:pStyle w:val="TextBody"/>
        <w:bidi w:val="0"/>
        <w:spacing w:before="240" w:after="0"/>
        <w:jc w:val="left"/>
        <w:rPr>
          <w:rFonts w:ascii="Arial" w:hAnsi="Arial"/>
          <w:color w:val="191919"/>
          <w:sz w:val="18"/>
        </w:rPr>
      </w:pPr>
      <w:r>
        <w:rPr>
          <w:rFonts w:ascii="Arial" w:hAnsi="Arial"/>
          <w:color w:val="191919"/>
          <w:sz w:val="18"/>
        </w:rPr>
        <w:t xml:space="preserve">The N&amp;CG Committee was not requested to and did not approve any transactions required to be reported under applicable SEC rules in fiscal 2026. </w:t>
      </w:r>
    </w:p>
    <w:p>
      <w:pPr>
        <w:pStyle w:val="TextBody"/>
        <w:bidi w:val="0"/>
        <w:spacing w:before="360" w:after="0"/>
        <w:jc w:val="left"/>
        <w:rPr>
          <w:rFonts w:ascii="Arial" w:hAnsi="Arial"/>
          <w:b/>
          <w:color w:val="191919"/>
          <w:sz w:val="26"/>
        </w:rPr>
      </w:pPr>
      <w:r>
        <w:rPr>
          <w:rFonts w:ascii="Arial" w:hAnsi="Arial"/>
          <w:b/>
          <w:color w:val="191919"/>
          <w:sz w:val="26"/>
        </w:rPr>
        <w:t xml:space="preserve">Age and Term Limits </w:t>
      </w:r>
    </w:p>
    <w:p>
      <w:pPr>
        <w:pStyle w:val="TextBody"/>
        <w:bidi w:val="0"/>
        <w:spacing w:before="240" w:after="0"/>
        <w:jc w:val="left"/>
        <w:rPr>
          <w:rFonts w:ascii="Arial" w:hAnsi="Arial"/>
          <w:color w:val="191919"/>
          <w:sz w:val="18"/>
        </w:rPr>
      </w:pPr>
      <w:r>
        <w:rPr>
          <w:rFonts w:ascii="Arial" w:hAnsi="Arial"/>
          <w:color w:val="191919"/>
          <w:sz w:val="18"/>
        </w:rPr>
        <w:t xml:space="preserve">Our Corporate Governance Guidelines provide that no individual may be nominated to stand for election or re-election to the Board if they reach the age of 73 before the date of election. We do not have term limits, as our Board believes such limits work against retaining the valued contributions of directors who have developed increasing insight into the Company and its operations over time. </w:t>
      </w:r>
    </w:p>
    <w:p>
      <w:pPr>
        <w:pStyle w:val="TextBody"/>
        <w:bidi w:val="0"/>
        <w:spacing w:before="360" w:after="0"/>
        <w:jc w:val="left"/>
        <w:rPr>
          <w:rFonts w:ascii="Arial" w:hAnsi="Arial"/>
          <w:b/>
          <w:color w:val="191919"/>
          <w:sz w:val="26"/>
        </w:rPr>
      </w:pPr>
      <w:r>
        <w:rPr>
          <w:rFonts w:ascii="Arial" w:hAnsi="Arial"/>
          <w:b/>
          <w:color w:val="191919"/>
          <w:sz w:val="26"/>
        </w:rPr>
        <w:t xml:space="preserve">Limits on Other Board Service </w:t>
      </w:r>
    </w:p>
    <w:p>
      <w:pPr>
        <w:pStyle w:val="TextBody"/>
        <w:bidi w:val="0"/>
        <w:spacing w:before="240" w:after="0"/>
        <w:jc w:val="left"/>
        <w:rPr>
          <w:rFonts w:ascii="Arial" w:hAnsi="Arial"/>
          <w:color w:val="191919"/>
          <w:sz w:val="18"/>
        </w:rPr>
      </w:pPr>
      <w:r>
        <w:rPr>
          <w:rFonts w:ascii="Arial" w:hAnsi="Arial"/>
          <w:color w:val="191919"/>
          <w:sz w:val="18"/>
        </w:rPr>
        <w:t xml:space="preserve">Board members are expected to ensure that their other commitments do not materially interfere with their service as a director. To that end, our Corporate Governance Guidelines require that directors may not serve on more than three other public company boards, and Audit Committee members may not serve on more than two other public company audit committees. Additionally, directors must advise the Chairman of the Board and the Chair of the N&amp;CG Committee before accepting an invitation to serve on the board of directors or similar body of another company. </w:t>
      </w:r>
    </w:p>
    <w:p>
      <w:pPr>
        <w:pStyle w:val="TextBody"/>
        <w:bidi w:val="0"/>
        <w:spacing w:before="360" w:after="0"/>
        <w:jc w:val="left"/>
        <w:rPr>
          <w:rFonts w:ascii="Arial" w:hAnsi="Arial"/>
          <w:b/>
          <w:color w:val="191919"/>
          <w:sz w:val="26"/>
        </w:rPr>
      </w:pPr>
      <w:r>
        <w:rPr>
          <w:rFonts w:ascii="Arial" w:hAnsi="Arial"/>
          <w:b/>
          <w:color w:val="191919"/>
          <w:sz w:val="26"/>
        </w:rPr>
        <w:t xml:space="preserve">Compensation Committee Interlocks and Insider Participation </w:t>
      </w:r>
    </w:p>
    <w:p>
      <w:pPr>
        <w:pStyle w:val="TextBody"/>
        <w:bidi w:val="0"/>
        <w:spacing w:before="240" w:after="0"/>
        <w:jc w:val="left"/>
        <w:rPr>
          <w:rFonts w:ascii="Arial" w:hAnsi="Arial"/>
          <w:color w:val="191919"/>
          <w:sz w:val="18"/>
        </w:rPr>
      </w:pPr>
      <w:r>
        <w:rPr>
          <w:rFonts w:ascii="Arial" w:hAnsi="Arial"/>
          <w:color w:val="191919"/>
          <w:sz w:val="18"/>
        </w:rPr>
        <w:t xml:space="preserve">During fiscal 2026, the members of the Compensation Committee included Mr. Sweezey (current Chair), Mr. Ash, Mr. Griffin, and Dr. Livingstone. None of the Board members who served on the Compensation Committee during fiscal 2026 were formerly an officer of the Company or were at any time during fiscal 2026 an officer or employee of the Company. None of our executive officers serve as a member of the board of directors or a compensation committee of any entity that has one or more executive officers serving as a member of our Board or Compensation Committee.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2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2" descr=""/>
                          <pic:cNvPicPr>
                            <a:picLocks noChangeAspect="1" noChangeArrowheads="1"/>
                          </pic:cNvPicPr>
                        </pic:nvPicPr>
                        <pic:blipFill>
                          <a:blip r:embed="rId21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Corporate Governance </w:t>
      </w:r>
    </w:p>
    <w:p>
      <w:pPr>
        <w:pStyle w:val="TextBody"/>
        <w:bidi w:val="0"/>
        <w:spacing w:before="0" w:after="0"/>
        <w:jc w:val="left"/>
        <w:rPr>
          <w:rFonts w:ascii="Arial" w:hAnsi="Arial"/>
          <w:sz w:val="16"/>
        </w:rPr>
      </w:pPr>
      <w:r>
        <w:rPr>
          <w:rFonts w:ascii="Arial" w:hAnsi="Arial"/>
          <w:sz w:val="16"/>
        </w:rPr>
        <w:t xml:space="preserve">Director Compensation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16" w:name="toc36145_13"/>
      <w:bookmarkEnd w:id="16"/>
      <w:r>
        <w:rPr>
          <w:rFonts w:ascii="Arial" w:hAnsi="Arial"/>
          <w:b/>
          <w:color w:val="7DB655"/>
          <w:sz w:val="30"/>
        </w:rPr>
        <w:t xml:space="preserve">Director Compensation </w:t>
      </w:r>
    </w:p>
    <w:p>
      <w:pPr>
        <w:pStyle w:val="TextBody"/>
        <w:bidi w:val="0"/>
        <w:spacing w:before="240" w:after="0"/>
        <w:jc w:val="left"/>
        <w:rPr>
          <w:rFonts w:ascii="Arial" w:hAnsi="Arial"/>
          <w:b/>
          <w:color w:val="191919"/>
          <w:sz w:val="26"/>
        </w:rPr>
      </w:pPr>
      <w:r>
        <w:rPr>
          <w:rFonts w:ascii="Arial" w:hAnsi="Arial"/>
          <w:b/>
          <w:color w:val="191919"/>
          <w:sz w:val="26"/>
        </w:rPr>
        <w:t xml:space="preserve">2026 Director Compensation Elements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shows the fiscal 2026 non-employee director compensation elements, which were reviewed and adjusted in fiscal 2026 based on competitive benchmarking and market analysis, in consultation with the Compensation Committee’s independent compensation consultant: </w:t>
      </w:r>
    </w:p>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4655"/>
        <w:gridCol w:w="120"/>
        <w:gridCol w:w="83"/>
        <w:gridCol w:w="1107"/>
        <w:gridCol w:w="75"/>
      </w:tblGrid>
      <w:tr>
        <w:trPr/>
        <w:tc>
          <w:tcPr>
            <w:tcW w:w="4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Annual Director Compensation Element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Amount ($)</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Cash Retainer</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90,000 </w:t>
            </w:r>
          </w:p>
        </w:tc>
        <w:tc>
          <w:tcPr>
            <w:tcW w:w="75" w:type="dxa"/>
            <w:tcBorders/>
            <w:vAlign w:val="center"/>
          </w:tcPr>
          <w:p>
            <w:pPr>
              <w:pStyle w:val="TableContents"/>
              <w:bidi w:val="0"/>
              <w:spacing w:before="0" w:after="283"/>
              <w:jc w:val="left"/>
              <w:rPr>
                <w:color w:val="191919"/>
              </w:rPr>
            </w:pPr>
            <w:r>
              <w:rPr>
                <w:color w:val="191919"/>
              </w:rPr>
              <w:t> </w:t>
            </w:r>
          </w:p>
        </w:tc>
      </w:tr>
      <w:tr>
        <w:trPr/>
        <w:tc>
          <w:tcPr>
            <w:tcW w:w="4655" w:type="dxa"/>
            <w:tcBorders/>
            <w:shd w:fill="EDEDED" w:val="clear"/>
            <w:vAlign w:val="center"/>
          </w:tcPr>
          <w:p>
            <w:pPr>
              <w:pStyle w:val="TableContents"/>
              <w:bidi w:val="0"/>
              <w:spacing w:before="0" w:after="283"/>
              <w:jc w:val="left"/>
              <w:rPr>
                <w:sz w:val="4"/>
                <w:szCs w:val="4"/>
              </w:rPr>
            </w:pPr>
            <w:r>
              <w:rPr>
                <w:sz w:val="4"/>
                <w:szCs w:val="4"/>
              </w:rPr>
            </w:r>
          </w:p>
        </w:tc>
        <w:tc>
          <w:tcPr>
            <w:tcW w:w="13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65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Equity Compensation (annual value)</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130,000 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Lead Independent Director Retainer</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30,000 </w:t>
            </w:r>
          </w:p>
        </w:tc>
        <w:tc>
          <w:tcPr>
            <w:tcW w:w="75" w:type="dxa"/>
            <w:tcBorders/>
            <w:vAlign w:val="center"/>
          </w:tcPr>
          <w:p>
            <w:pPr>
              <w:pStyle w:val="TableContents"/>
              <w:bidi w:val="0"/>
              <w:spacing w:before="0" w:after="283"/>
              <w:jc w:val="left"/>
              <w:rPr>
                <w:color w:val="191919"/>
              </w:rPr>
            </w:pPr>
            <w:r>
              <w:rPr>
                <w:color w:val="191919"/>
              </w:rPr>
              <w:t> </w:t>
            </w:r>
          </w:p>
        </w:tc>
      </w:tr>
      <w:tr>
        <w:trPr/>
        <w:tc>
          <w:tcPr>
            <w:tcW w:w="4655" w:type="dxa"/>
            <w:tcBorders/>
            <w:shd w:fill="EDEDED" w:val="clear"/>
            <w:vAlign w:val="center"/>
          </w:tcPr>
          <w:p>
            <w:pPr>
              <w:pStyle w:val="TableContents"/>
              <w:bidi w:val="0"/>
              <w:spacing w:before="0" w:after="283"/>
              <w:jc w:val="left"/>
              <w:rPr>
                <w:sz w:val="4"/>
                <w:szCs w:val="4"/>
              </w:rPr>
            </w:pPr>
            <w:r>
              <w:rPr>
                <w:sz w:val="4"/>
                <w:szCs w:val="4"/>
              </w:rPr>
            </w:r>
          </w:p>
        </w:tc>
        <w:tc>
          <w:tcPr>
            <w:tcW w:w="13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65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Audit Committee Chair Retainer</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20,000 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Compensation &amp; Talent Development Committee Chair Retainer</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15,000 </w:t>
            </w:r>
          </w:p>
        </w:tc>
        <w:tc>
          <w:tcPr>
            <w:tcW w:w="75" w:type="dxa"/>
            <w:tcBorders/>
            <w:vAlign w:val="center"/>
          </w:tcPr>
          <w:p>
            <w:pPr>
              <w:pStyle w:val="TableContents"/>
              <w:bidi w:val="0"/>
              <w:spacing w:before="0" w:after="283"/>
              <w:jc w:val="left"/>
              <w:rPr>
                <w:color w:val="191919"/>
              </w:rPr>
            </w:pPr>
            <w:r>
              <w:rPr>
                <w:color w:val="191919"/>
              </w:rPr>
              <w:t> </w:t>
            </w:r>
          </w:p>
        </w:tc>
      </w:tr>
      <w:tr>
        <w:trPr/>
        <w:tc>
          <w:tcPr>
            <w:tcW w:w="4655" w:type="dxa"/>
            <w:tcBorders/>
            <w:shd w:fill="EDEDED" w:val="clear"/>
            <w:vAlign w:val="center"/>
          </w:tcPr>
          <w:p>
            <w:pPr>
              <w:pStyle w:val="TableContents"/>
              <w:bidi w:val="0"/>
              <w:spacing w:before="0" w:after="283"/>
              <w:jc w:val="left"/>
              <w:rPr>
                <w:sz w:val="4"/>
                <w:szCs w:val="4"/>
              </w:rPr>
            </w:pPr>
            <w:r>
              <w:rPr>
                <w:sz w:val="4"/>
                <w:szCs w:val="4"/>
              </w:rPr>
            </w:r>
          </w:p>
        </w:tc>
        <w:tc>
          <w:tcPr>
            <w:tcW w:w="13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65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Nominating &amp; Corporate Governance Committee Chair Retainer</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10,000 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Non-Chair Committee Member Retainers:</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 </w:t>
            </w:r>
          </w:p>
        </w:tc>
        <w:tc>
          <w:tcPr>
            <w:tcW w:w="75" w:type="dxa"/>
            <w:tcBorders/>
            <w:vAlign w:val="center"/>
          </w:tcPr>
          <w:p>
            <w:pPr>
              <w:pStyle w:val="TableContents"/>
              <w:bidi w:val="0"/>
              <w:spacing w:before="0" w:after="283"/>
              <w:jc w:val="left"/>
              <w:rPr>
                <w:color w:val="191919"/>
              </w:rPr>
            </w:pPr>
            <w:r>
              <w:rPr>
                <w:color w:val="191919"/>
              </w:rPr>
              <w:t> </w:t>
            </w:r>
          </w:p>
        </w:tc>
      </w:tr>
      <w:tr>
        <w:trPr/>
        <w:tc>
          <w:tcPr>
            <w:tcW w:w="4655" w:type="dxa"/>
            <w:tcBorders/>
            <w:shd w:fill="EDEDED" w:val="clear"/>
            <w:vAlign w:val="center"/>
          </w:tcPr>
          <w:p>
            <w:pPr>
              <w:pStyle w:val="TableContents"/>
              <w:bidi w:val="0"/>
              <w:spacing w:before="0" w:after="283"/>
              <w:jc w:val="left"/>
              <w:rPr>
                <w:sz w:val="4"/>
                <w:szCs w:val="4"/>
              </w:rPr>
            </w:pPr>
            <w:r>
              <w:rPr>
                <w:sz w:val="4"/>
                <w:szCs w:val="4"/>
              </w:rPr>
            </w:r>
          </w:p>
        </w:tc>
        <w:tc>
          <w:tcPr>
            <w:tcW w:w="13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65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Audit</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10,000 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46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Compensation &amp; Talent Development</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8,000 </w:t>
            </w:r>
          </w:p>
        </w:tc>
        <w:tc>
          <w:tcPr>
            <w:tcW w:w="75" w:type="dxa"/>
            <w:tcBorders/>
            <w:vAlign w:val="center"/>
          </w:tcPr>
          <w:p>
            <w:pPr>
              <w:pStyle w:val="TableContents"/>
              <w:bidi w:val="0"/>
              <w:spacing w:before="0" w:after="283"/>
              <w:jc w:val="left"/>
              <w:rPr>
                <w:color w:val="191919"/>
              </w:rPr>
            </w:pPr>
            <w:r>
              <w:rPr>
                <w:color w:val="191919"/>
              </w:rPr>
              <w:t> </w:t>
            </w:r>
          </w:p>
        </w:tc>
      </w:tr>
      <w:tr>
        <w:trPr/>
        <w:tc>
          <w:tcPr>
            <w:tcW w:w="4655" w:type="dxa"/>
            <w:tcBorders/>
            <w:shd w:fill="EDEDED" w:val="clear"/>
            <w:vAlign w:val="center"/>
          </w:tcPr>
          <w:p>
            <w:pPr>
              <w:pStyle w:val="TableContents"/>
              <w:bidi w:val="0"/>
              <w:spacing w:before="0" w:after="283"/>
              <w:jc w:val="left"/>
              <w:rPr>
                <w:sz w:val="4"/>
                <w:szCs w:val="4"/>
              </w:rPr>
            </w:pPr>
            <w:r>
              <w:rPr>
                <w:sz w:val="4"/>
                <w:szCs w:val="4"/>
              </w:rPr>
            </w:r>
          </w:p>
        </w:tc>
        <w:tc>
          <w:tcPr>
            <w:tcW w:w="13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7DB655"/>
            </w:tcBorders>
            <w:shd w:fill="EDEDED" w:val="clear"/>
            <w:tcMar>
              <w:bottom w:w="80" w:type="dxa"/>
            </w:tcMar>
            <w:vAlign w:val="center"/>
          </w:tcPr>
          <w:p>
            <w:pPr>
              <w:pStyle w:val="TableContents"/>
              <w:bidi w:val="0"/>
              <w:spacing w:before="0" w:after="0"/>
              <w:jc w:val="left"/>
              <w:rPr>
                <w:rFonts w:ascii="Arial" w:hAnsi="Arial"/>
                <w:color w:val="191919"/>
                <w:sz w:val="17"/>
              </w:rPr>
            </w:pPr>
            <w:r>
              <w:rPr>
                <w:rFonts w:ascii="Arial" w:hAnsi="Arial"/>
                <w:color w:val="191919"/>
                <w:sz w:val="17"/>
              </w:rPr>
              <w:t>Nominating &amp; Corporate Governance</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83"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1107" w:type="dxa"/>
            <w:tcBorders>
              <w:bottom w:val="single" w:sz="6" w:space="0" w:color="7DB655"/>
            </w:tcBorders>
            <w:shd w:fill="EDEDED" w:val="clear"/>
            <w:tcMar>
              <w:bottom w:w="80" w:type="dxa"/>
            </w:tcMar>
            <w:vAlign w:val="center"/>
          </w:tcPr>
          <w:p>
            <w:pPr>
              <w:pStyle w:val="TableContents"/>
              <w:bidi w:val="0"/>
              <w:spacing w:before="0" w:after="283"/>
              <w:jc w:val="right"/>
              <w:rPr>
                <w:color w:val="191919"/>
              </w:rPr>
            </w:pPr>
            <w:r>
              <w:rPr>
                <w:color w:val="191919"/>
              </w:rPr>
              <w:t>8,000 </w:t>
            </w:r>
          </w:p>
        </w:tc>
        <w:tc>
          <w:tcPr>
            <w:tcW w:w="75"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r>
    </w:tbl>
    <w:p>
      <w:pPr>
        <w:pStyle w:val="TextBody"/>
        <w:bidi w:val="0"/>
        <w:spacing w:before="240" w:after="0"/>
        <w:jc w:val="left"/>
        <w:rPr>
          <w:rFonts w:ascii="Arial" w:hAnsi="Arial"/>
          <w:color w:val="191919"/>
          <w:sz w:val="18"/>
        </w:rPr>
      </w:pPr>
      <w:r>
        <w:rPr>
          <w:rFonts w:ascii="Arial" w:hAnsi="Arial"/>
          <w:color w:val="191919"/>
          <w:sz w:val="18"/>
        </w:rPr>
        <w:t xml:space="preserve">The equity portion of non-employee director compensation is provided in the form of restricted stock of the Company. The Company typically makes annual non-employee director equity grants upon the directors’ reelection each year (grant values are prorated if a director joins the Board mid-year). The restricted stock, which fully vests on the earliest of the director’s reelection as a director, one year from the date of grant, the termination of the director’s service due to death or disability, or a change in control, has full voting rights and is eligible to receive dividends (if any) from the date of grant. </w:t>
      </w:r>
    </w:p>
    <w:p>
      <w:pPr>
        <w:pStyle w:val="TextBody"/>
        <w:bidi w:val="0"/>
        <w:spacing w:before="240" w:after="0"/>
        <w:jc w:val="left"/>
        <w:rPr>
          <w:rFonts w:ascii="Arial" w:hAnsi="Arial"/>
          <w:color w:val="191919"/>
          <w:sz w:val="18"/>
        </w:rPr>
      </w:pPr>
      <w:r>
        <w:rPr>
          <w:rFonts w:ascii="Arial" w:hAnsi="Arial"/>
          <w:color w:val="191919"/>
          <w:sz w:val="18"/>
        </w:rPr>
        <w:t xml:space="preserve">Directors are also eligible to receive special additional compensation when performing services that are determined by the Board to be well above and beyond the normal director service requirements. The Board has not set a compensatory rate for these services, and no fees were paid for this purpose in fiscal 2026.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2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3" descr=""/>
                          <pic:cNvPicPr>
                            <a:picLocks noChangeAspect="1" noChangeArrowheads="1"/>
                          </pic:cNvPicPr>
                        </pic:nvPicPr>
                        <pic:blipFill>
                          <a:blip r:embed="rId21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Corporate Governance </w:t>
      </w:r>
    </w:p>
    <w:p>
      <w:pPr>
        <w:pStyle w:val="TextBody"/>
        <w:bidi w:val="0"/>
        <w:spacing w:before="0" w:after="0"/>
        <w:jc w:val="right"/>
        <w:rPr>
          <w:rFonts w:ascii="Arial" w:hAnsi="Arial"/>
          <w:sz w:val="16"/>
        </w:rPr>
      </w:pPr>
      <w:r>
        <w:rPr>
          <w:rFonts w:ascii="Arial" w:hAnsi="Arial"/>
          <w:sz w:val="16"/>
        </w:rPr>
        <w:t xml:space="preserve">Director Compensation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2026 Director Compensation Table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information with respect to our non-employee director compensation for the fiscal year ended March 31, 2026. Compensation information for Mr. Armes is set forth below under “Executive Compensation—Summary Compensation Table.” Mr. Armes did not receive any additional compensation for his service as a director. </w:t>
      </w:r>
    </w:p>
    <w:p>
      <w:pPr>
        <w:pStyle w:val="TextBody"/>
        <w:bidi w:val="0"/>
        <w:spacing w:before="0" w:after="0"/>
        <w:jc w:val="left"/>
        <w:rPr/>
      </w:pPr>
      <w:r>
        <w:rPr/>
        <w:t> </w:t>
      </w:r>
    </w:p>
    <w:tbl>
      <w:tblPr>
        <w:tblW w:w="5405" w:type="dxa"/>
        <w:jc w:val="left"/>
        <w:tblInd w:w="0" w:type="dxa"/>
        <w:tblLayout w:type="fixed"/>
        <w:tblCellMar>
          <w:top w:w="0" w:type="dxa"/>
          <w:left w:w="0" w:type="dxa"/>
          <w:bottom w:w="0" w:type="dxa"/>
          <w:right w:w="0" w:type="dxa"/>
        </w:tblCellMar>
      </w:tblPr>
      <w:tblGrid>
        <w:gridCol w:w="1835"/>
        <w:gridCol w:w="120"/>
        <w:gridCol w:w="90"/>
        <w:gridCol w:w="1205"/>
        <w:gridCol w:w="60"/>
        <w:gridCol w:w="120"/>
        <w:gridCol w:w="60"/>
        <w:gridCol w:w="800"/>
        <w:gridCol w:w="60"/>
        <w:gridCol w:w="120"/>
        <w:gridCol w:w="60"/>
        <w:gridCol w:w="80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95"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Fees Earned</w:t>
              <w:br/>
              <w:t>or Paid in</w:t>
              <w:br/>
              <w:t>Cash</w:t>
              <w:br/>
              <w: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860" w:type="dxa"/>
            <w:gridSpan w:val="2"/>
            <w:tcBorders>
              <w:bottom w:val="single" w:sz="56" w:space="0" w:color="7DB655"/>
            </w:tcBorders>
            <w:tcMar>
              <w:bottom w:w="80" w:type="dxa"/>
            </w:tcMar>
            <w:vAlign w:val="center"/>
          </w:tcPr>
          <w:p>
            <w:pPr>
              <w:pStyle w:val="TableContents"/>
              <w:bidi w:val="0"/>
              <w:spacing w:before="0" w:after="283"/>
              <w:jc w:val="center"/>
              <w:rPr/>
            </w:pPr>
            <w:r>
              <w:rPr>
                <w:b/>
                <w:color w:val="191919"/>
              </w:rPr>
              <w:t>Stock</w:t>
              <w:br/>
              <w:t>Awards</w:t>
              <w:br/>
              <w:t>($)</w:t>
            </w:r>
            <w:r>
              <w:rPr>
                <w:color w:val="191919"/>
                <w:sz w:val="10"/>
              </w:rPr>
              <w:t>(1)(2)</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86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Total</w:t>
              <w:br/>
              <w:t>($)</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Darron K. Ash</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191919"/>
              </w:rPr>
            </w:pPr>
            <w:r>
              <w:rPr>
                <w:color w:val="191919"/>
              </w:rPr>
              <w:t> </w:t>
            </w:r>
          </w:p>
        </w:tc>
        <w:tc>
          <w:tcPr>
            <w:tcW w:w="1205" w:type="dxa"/>
            <w:tcBorders/>
            <w:vAlign w:val="center"/>
          </w:tcPr>
          <w:p>
            <w:pPr>
              <w:pStyle w:val="TableContents"/>
              <w:bidi w:val="0"/>
              <w:spacing w:before="0" w:after="283"/>
              <w:jc w:val="right"/>
              <w:rPr>
                <w:color w:val="191919"/>
              </w:rPr>
            </w:pPr>
            <w:r>
              <w:rPr>
                <w:color w:val="191919"/>
              </w:rPr>
              <w:t>108,000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135,199</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243,199</w:t>
            </w:r>
          </w:p>
        </w:tc>
        <w:tc>
          <w:tcPr>
            <w:tcW w:w="75" w:type="dxa"/>
            <w:tcBorders/>
            <w:vAlign w:val="center"/>
          </w:tcPr>
          <w:p>
            <w:pPr>
              <w:pStyle w:val="TableContents"/>
              <w:bidi w:val="0"/>
              <w:spacing w:before="0" w:after="283"/>
              <w:jc w:val="left"/>
              <w:rPr>
                <w:color w:val="191919"/>
              </w:rPr>
            </w:pPr>
            <w:r>
              <w:rPr>
                <w:color w:val="191919"/>
              </w:rPr>
              <w:t> </w:t>
            </w:r>
          </w:p>
        </w:tc>
      </w:tr>
      <w:tr>
        <w:trPr/>
        <w:tc>
          <w:tcPr>
            <w:tcW w:w="183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10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835"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Michael R. Gambrell</w:t>
            </w:r>
          </w:p>
        </w:tc>
        <w:tc>
          <w:tcPr>
            <w:tcW w:w="120" w:type="dxa"/>
            <w:tcBorders/>
            <w:shd w:fill="EDEDED" w:val="clear"/>
            <w:vAlign w:val="center"/>
          </w:tcPr>
          <w:p>
            <w:pPr>
              <w:pStyle w:val="TableContents"/>
              <w:bidi w:val="0"/>
              <w:spacing w:before="0" w:after="283"/>
              <w:jc w:val="left"/>
              <w:rPr/>
            </w:pPr>
            <w:r>
              <w:rPr/>
              <w:t>  </w:t>
            </w:r>
          </w:p>
        </w:tc>
        <w:tc>
          <w:tcPr>
            <w:tcW w:w="90" w:type="dxa"/>
            <w:tcBorders/>
            <w:shd w:fill="EDEDED" w:val="clear"/>
            <w:vAlign w:val="center"/>
          </w:tcPr>
          <w:p>
            <w:pPr>
              <w:pStyle w:val="TableContents"/>
              <w:bidi w:val="0"/>
              <w:spacing w:before="0" w:after="283"/>
              <w:jc w:val="left"/>
              <w:rPr>
                <w:color w:val="191919"/>
              </w:rPr>
            </w:pPr>
            <w:r>
              <w:rPr>
                <w:color w:val="191919"/>
              </w:rPr>
              <w:t> </w:t>
            </w:r>
          </w:p>
        </w:tc>
        <w:tc>
          <w:tcPr>
            <w:tcW w:w="1205" w:type="dxa"/>
            <w:tcBorders/>
            <w:shd w:fill="EDEDED" w:val="clear"/>
            <w:vAlign w:val="center"/>
          </w:tcPr>
          <w:p>
            <w:pPr>
              <w:pStyle w:val="TableContents"/>
              <w:bidi w:val="0"/>
              <w:spacing w:before="0" w:after="283"/>
              <w:jc w:val="right"/>
              <w:rPr>
                <w:color w:val="191919"/>
              </w:rPr>
            </w:pPr>
            <w:r>
              <w:rPr>
                <w:color w:val="191919"/>
              </w:rPr>
              <w:t>100,000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135,199</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235,199</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Bobby Griffin</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191919"/>
              </w:rPr>
            </w:pPr>
            <w:r>
              <w:rPr>
                <w:color w:val="191919"/>
              </w:rPr>
              <w:t> </w:t>
            </w:r>
          </w:p>
        </w:tc>
        <w:tc>
          <w:tcPr>
            <w:tcW w:w="1205" w:type="dxa"/>
            <w:tcBorders/>
            <w:vAlign w:val="center"/>
          </w:tcPr>
          <w:p>
            <w:pPr>
              <w:pStyle w:val="TableContents"/>
              <w:bidi w:val="0"/>
              <w:spacing w:before="0" w:after="283"/>
              <w:jc w:val="right"/>
              <w:rPr>
                <w:color w:val="191919"/>
              </w:rPr>
            </w:pPr>
            <w:r>
              <w:rPr>
                <w:color w:val="191919"/>
              </w:rPr>
              <w:t>106,000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135,199</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241,199</w:t>
            </w:r>
          </w:p>
        </w:tc>
        <w:tc>
          <w:tcPr>
            <w:tcW w:w="75" w:type="dxa"/>
            <w:tcBorders/>
            <w:vAlign w:val="center"/>
          </w:tcPr>
          <w:p>
            <w:pPr>
              <w:pStyle w:val="TableContents"/>
              <w:bidi w:val="0"/>
              <w:spacing w:before="0" w:after="283"/>
              <w:jc w:val="left"/>
              <w:rPr>
                <w:color w:val="191919"/>
              </w:rPr>
            </w:pPr>
            <w:r>
              <w:rPr>
                <w:color w:val="191919"/>
              </w:rPr>
              <w:t> </w:t>
            </w:r>
          </w:p>
        </w:tc>
      </w:tr>
      <w:tr>
        <w:trPr/>
        <w:tc>
          <w:tcPr>
            <w:tcW w:w="183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10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835"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Terry L. Johnston</w:t>
            </w:r>
          </w:p>
        </w:tc>
        <w:tc>
          <w:tcPr>
            <w:tcW w:w="120" w:type="dxa"/>
            <w:tcBorders/>
            <w:shd w:fill="EDEDED" w:val="clear"/>
            <w:vAlign w:val="center"/>
          </w:tcPr>
          <w:p>
            <w:pPr>
              <w:pStyle w:val="TableContents"/>
              <w:bidi w:val="0"/>
              <w:spacing w:before="0" w:after="283"/>
              <w:jc w:val="left"/>
              <w:rPr/>
            </w:pPr>
            <w:r>
              <w:rPr/>
              <w:t>  </w:t>
            </w:r>
          </w:p>
        </w:tc>
        <w:tc>
          <w:tcPr>
            <w:tcW w:w="90" w:type="dxa"/>
            <w:tcBorders/>
            <w:shd w:fill="EDEDED" w:val="clear"/>
            <w:vAlign w:val="center"/>
          </w:tcPr>
          <w:p>
            <w:pPr>
              <w:pStyle w:val="TableContents"/>
              <w:bidi w:val="0"/>
              <w:spacing w:before="0" w:after="283"/>
              <w:jc w:val="left"/>
              <w:rPr>
                <w:color w:val="191919"/>
              </w:rPr>
            </w:pPr>
            <w:r>
              <w:rPr>
                <w:color w:val="191919"/>
              </w:rPr>
              <w:t> </w:t>
            </w:r>
          </w:p>
        </w:tc>
        <w:tc>
          <w:tcPr>
            <w:tcW w:w="1205" w:type="dxa"/>
            <w:tcBorders/>
            <w:shd w:fill="EDEDED" w:val="clear"/>
            <w:vAlign w:val="center"/>
          </w:tcPr>
          <w:p>
            <w:pPr>
              <w:pStyle w:val="TableContents"/>
              <w:bidi w:val="0"/>
              <w:spacing w:before="0" w:after="283"/>
              <w:jc w:val="right"/>
              <w:rPr>
                <w:color w:val="191919"/>
              </w:rPr>
            </w:pPr>
            <w:r>
              <w:rPr>
                <w:color w:val="191919"/>
              </w:rPr>
              <w:t>108,000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135,199</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243,199</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Linda A. Livingstone</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191919"/>
              </w:rPr>
            </w:pPr>
            <w:r>
              <w:rPr>
                <w:color w:val="191919"/>
              </w:rPr>
              <w:t> </w:t>
            </w:r>
          </w:p>
        </w:tc>
        <w:tc>
          <w:tcPr>
            <w:tcW w:w="1205" w:type="dxa"/>
            <w:tcBorders/>
            <w:vAlign w:val="center"/>
          </w:tcPr>
          <w:p>
            <w:pPr>
              <w:pStyle w:val="TableContents"/>
              <w:bidi w:val="0"/>
              <w:spacing w:before="0" w:after="283"/>
              <w:jc w:val="right"/>
              <w:rPr>
                <w:color w:val="191919"/>
              </w:rPr>
            </w:pPr>
            <w:r>
              <w:rPr>
                <w:color w:val="191919"/>
              </w:rPr>
              <w:t>123,772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135,199</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258,971</w:t>
            </w:r>
          </w:p>
        </w:tc>
        <w:tc>
          <w:tcPr>
            <w:tcW w:w="75" w:type="dxa"/>
            <w:tcBorders/>
            <w:vAlign w:val="center"/>
          </w:tcPr>
          <w:p>
            <w:pPr>
              <w:pStyle w:val="TableContents"/>
              <w:bidi w:val="0"/>
              <w:spacing w:before="0" w:after="283"/>
              <w:jc w:val="left"/>
              <w:rPr>
                <w:color w:val="191919"/>
              </w:rPr>
            </w:pPr>
            <w:r>
              <w:rPr>
                <w:color w:val="191919"/>
              </w:rPr>
              <w:t> </w:t>
            </w:r>
          </w:p>
        </w:tc>
      </w:tr>
      <w:tr>
        <w:trPr/>
        <w:tc>
          <w:tcPr>
            <w:tcW w:w="183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10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835"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Anne B. Motsenbocker</w:t>
            </w:r>
          </w:p>
        </w:tc>
        <w:tc>
          <w:tcPr>
            <w:tcW w:w="120" w:type="dxa"/>
            <w:tcBorders/>
            <w:shd w:fill="EDEDED" w:val="clear"/>
            <w:vAlign w:val="center"/>
          </w:tcPr>
          <w:p>
            <w:pPr>
              <w:pStyle w:val="TableContents"/>
              <w:bidi w:val="0"/>
              <w:spacing w:before="0" w:after="283"/>
              <w:jc w:val="left"/>
              <w:rPr/>
            </w:pPr>
            <w:r>
              <w:rPr/>
              <w:t>  </w:t>
            </w:r>
          </w:p>
        </w:tc>
        <w:tc>
          <w:tcPr>
            <w:tcW w:w="90" w:type="dxa"/>
            <w:tcBorders/>
            <w:shd w:fill="EDEDED" w:val="clear"/>
            <w:vAlign w:val="center"/>
          </w:tcPr>
          <w:p>
            <w:pPr>
              <w:pStyle w:val="TableContents"/>
              <w:bidi w:val="0"/>
              <w:spacing w:before="0" w:after="283"/>
              <w:jc w:val="left"/>
              <w:rPr>
                <w:color w:val="191919"/>
              </w:rPr>
            </w:pPr>
            <w:r>
              <w:rPr>
                <w:color w:val="191919"/>
              </w:rPr>
              <w:t> </w:t>
            </w:r>
          </w:p>
        </w:tc>
        <w:tc>
          <w:tcPr>
            <w:tcW w:w="1205" w:type="dxa"/>
            <w:tcBorders/>
            <w:shd w:fill="EDEDED" w:val="clear"/>
            <w:vAlign w:val="center"/>
          </w:tcPr>
          <w:p>
            <w:pPr>
              <w:pStyle w:val="TableContents"/>
              <w:bidi w:val="0"/>
              <w:spacing w:before="0" w:after="283"/>
              <w:jc w:val="right"/>
              <w:rPr>
                <w:color w:val="191919"/>
              </w:rPr>
            </w:pPr>
            <w:r>
              <w:rPr>
                <w:color w:val="191919"/>
              </w:rPr>
              <w:t>110,000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135,199</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245,199</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Robert M. Swartz(3)</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olor w:val="191919"/>
              </w:rPr>
            </w:pPr>
            <w:r>
              <w:rPr>
                <w:color w:val="191919"/>
              </w:rPr>
              <w:t> </w:t>
            </w:r>
          </w:p>
        </w:tc>
        <w:tc>
          <w:tcPr>
            <w:tcW w:w="1205" w:type="dxa"/>
            <w:tcBorders/>
            <w:vAlign w:val="center"/>
          </w:tcPr>
          <w:p>
            <w:pPr>
              <w:pStyle w:val="TableContents"/>
              <w:bidi w:val="0"/>
              <w:spacing w:before="0" w:after="283"/>
              <w:jc w:val="right"/>
              <w:rPr>
                <w:color w:val="191919"/>
              </w:rPr>
            </w:pPr>
            <w:r>
              <w:rPr>
                <w:color w:val="191919"/>
              </w:rPr>
              <w:t>53,342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53,342</w:t>
            </w:r>
          </w:p>
        </w:tc>
        <w:tc>
          <w:tcPr>
            <w:tcW w:w="75" w:type="dxa"/>
            <w:tcBorders/>
            <w:vAlign w:val="center"/>
          </w:tcPr>
          <w:p>
            <w:pPr>
              <w:pStyle w:val="TableContents"/>
              <w:bidi w:val="0"/>
              <w:spacing w:before="0" w:after="283"/>
              <w:jc w:val="left"/>
              <w:rPr>
                <w:color w:val="191919"/>
              </w:rPr>
            </w:pPr>
            <w:r>
              <w:rPr>
                <w:color w:val="191919"/>
              </w:rPr>
              <w:t> </w:t>
            </w:r>
          </w:p>
        </w:tc>
      </w:tr>
      <w:tr>
        <w:trPr/>
        <w:tc>
          <w:tcPr>
            <w:tcW w:w="183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10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835" w:type="dxa"/>
            <w:tcBorders>
              <w:bottom w:val="single" w:sz="6" w:space="0" w:color="7DB655"/>
            </w:tcBorders>
            <w:shd w:fill="EDEDED" w:val="clear"/>
            <w:tcMar>
              <w:bottom w:w="8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J. Kent Sweezey</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90"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1205" w:type="dxa"/>
            <w:tcBorders>
              <w:bottom w:val="single" w:sz="6" w:space="0" w:color="7DB655"/>
            </w:tcBorders>
            <w:shd w:fill="EDEDED" w:val="clear"/>
            <w:tcMar>
              <w:bottom w:w="80" w:type="dxa"/>
            </w:tcMar>
            <w:vAlign w:val="center"/>
          </w:tcPr>
          <w:p>
            <w:pPr>
              <w:pStyle w:val="TableContents"/>
              <w:bidi w:val="0"/>
              <w:spacing w:before="0" w:after="283"/>
              <w:jc w:val="right"/>
              <w:rPr>
                <w:color w:val="191919"/>
              </w:rPr>
            </w:pPr>
            <w:r>
              <w:rPr>
                <w:color w:val="191919"/>
              </w:rPr>
              <w:t>115,000</w:t>
            </w:r>
          </w:p>
        </w:tc>
        <w:tc>
          <w:tcPr>
            <w:tcW w:w="60"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800" w:type="dxa"/>
            <w:tcBorders>
              <w:bottom w:val="single" w:sz="6" w:space="0" w:color="7DB655"/>
            </w:tcBorders>
            <w:shd w:fill="EDEDED" w:val="clear"/>
            <w:tcMar>
              <w:bottom w:w="80" w:type="dxa"/>
            </w:tcMar>
            <w:vAlign w:val="center"/>
          </w:tcPr>
          <w:p>
            <w:pPr>
              <w:pStyle w:val="TableContents"/>
              <w:bidi w:val="0"/>
              <w:spacing w:before="0" w:after="283"/>
              <w:jc w:val="right"/>
              <w:rPr>
                <w:color w:val="191919"/>
              </w:rPr>
            </w:pPr>
            <w:r>
              <w:rPr>
                <w:color w:val="191919"/>
              </w:rPr>
              <w:t>135,199</w:t>
            </w:r>
          </w:p>
        </w:tc>
        <w:tc>
          <w:tcPr>
            <w:tcW w:w="60"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800" w:type="dxa"/>
            <w:tcBorders>
              <w:bottom w:val="single" w:sz="6" w:space="0" w:color="7DB655"/>
            </w:tcBorders>
            <w:shd w:fill="EDEDED" w:val="clear"/>
            <w:tcMar>
              <w:bottom w:w="80" w:type="dxa"/>
            </w:tcMar>
            <w:vAlign w:val="center"/>
          </w:tcPr>
          <w:p>
            <w:pPr>
              <w:pStyle w:val="TableContents"/>
              <w:bidi w:val="0"/>
              <w:spacing w:before="0" w:after="283"/>
              <w:jc w:val="right"/>
              <w:rPr>
                <w:color w:val="191919"/>
              </w:rPr>
            </w:pPr>
            <w:r>
              <w:rPr>
                <w:color w:val="191919"/>
              </w:rPr>
              <w:t>250,199</w:t>
            </w:r>
          </w:p>
        </w:tc>
        <w:tc>
          <w:tcPr>
            <w:tcW w:w="75"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i/>
                <w:color w:val="191919"/>
              </w:rPr>
            </w:pPr>
            <w:r>
              <w:rPr>
                <w:i/>
                <w:color w:val="191919"/>
              </w:rPr>
              <w:t>(1)</w:t>
            </w:r>
          </w:p>
        </w:tc>
        <w:tc>
          <w:tcPr>
            <w:tcW w:w="996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Eligible non-employee directors received an annual equity grant of 495 shares of restricted stock on August 28, 2025. The amounts shown in this column reflect the grant date fair value of the awards computed in accordance with Financial Accounting Standards Board Accounting Standards Codification 718, “Compensation—Stock Compensation,” and are calculated using a price per share of $273.13, the closing market price of the Company’s common stock as quoted by the NYSE on the date of grant. The price per share used for calculating the actual shares granted was based on a volume weighted average price for the 20 trading days prior to the date of grant. Equity grant valuations are discussed in Note 5 to the Company’s audited consolidated financial statements for the year ended March 31, 2026, in the Annual Report on Form 10-K filed with the SEC on May 26, 2026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i/>
                <w:color w:val="191919"/>
              </w:rPr>
            </w:pPr>
            <w:r>
              <w:rPr>
                <w:i/>
                <w:color w:val="191919"/>
              </w:rPr>
              <w:t>(2)</w:t>
            </w:r>
          </w:p>
        </w:tc>
        <w:tc>
          <w:tcPr>
            <w:tcW w:w="9919"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current non-employee directors each had 495 shares of restricted stock outstanding at March 31, 2026. The non-employee directors did not have any stock option awards outstanding at March 31, 2026. </w:t>
            </w:r>
          </w:p>
        </w:tc>
      </w:tr>
    </w:tbl>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305"/>
        <w:gridCol w:w="3590"/>
      </w:tblGrid>
      <w:tr>
        <w:trPr/>
        <w:tc>
          <w:tcPr>
            <w:tcW w:w="305" w:type="dxa"/>
            <w:tcBorders/>
            <w:vAlign w:val="center"/>
          </w:tcPr>
          <w:p>
            <w:pPr>
              <w:pStyle w:val="TableContents"/>
              <w:bidi w:val="0"/>
              <w:spacing w:before="0" w:after="283"/>
              <w:jc w:val="left"/>
              <w:rPr>
                <w:i/>
                <w:color w:val="191919"/>
              </w:rPr>
            </w:pPr>
            <w:r>
              <w:rPr>
                <w:i/>
                <w:color w:val="191919"/>
              </w:rPr>
              <w:t>(3)</w:t>
            </w:r>
          </w:p>
        </w:tc>
        <w:tc>
          <w:tcPr>
            <w:tcW w:w="359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Mr. Swartz retired from Board effective August 28, 2025. </w:t>
            </w:r>
          </w:p>
        </w:tc>
      </w:tr>
    </w:tbl>
    <w:p>
      <w:pPr>
        <w:pStyle w:val="TextBody"/>
        <w:bidi w:val="0"/>
        <w:spacing w:before="360" w:after="0"/>
        <w:jc w:val="left"/>
        <w:rPr>
          <w:rFonts w:ascii="Arial" w:hAnsi="Arial"/>
          <w:b/>
          <w:color w:val="191919"/>
          <w:sz w:val="26"/>
        </w:rPr>
      </w:pPr>
      <w:r>
        <w:rPr>
          <w:rFonts w:ascii="Arial" w:hAnsi="Arial"/>
          <w:b/>
          <w:color w:val="191919"/>
          <w:sz w:val="26"/>
        </w:rPr>
        <w:t xml:space="preserve">Stock Ownership Guidelines </w:t>
      </w:r>
    </w:p>
    <w:p>
      <w:pPr>
        <w:pStyle w:val="TextBody"/>
        <w:bidi w:val="0"/>
        <w:spacing w:before="240" w:after="0"/>
        <w:jc w:val="left"/>
        <w:rPr>
          <w:rFonts w:ascii="Arial" w:hAnsi="Arial"/>
          <w:color w:val="191919"/>
          <w:sz w:val="18"/>
        </w:rPr>
      </w:pPr>
      <w:r>
        <w:rPr>
          <w:rFonts w:ascii="Arial" w:hAnsi="Arial"/>
          <w:color w:val="191919"/>
          <w:sz w:val="18"/>
        </w:rPr>
        <w:t xml:space="preserve">Under the Company’s Stock Ownership and Retention Guidelines, all non-employee directors are expected to own shares of Company common stock with a value equal to at least five times the annual cash retainer (currently equal to $450,000) by their fifth anniversary of board service. As of March 31, 2026, all non-employee directors were in compliance with Company ownership guidelines.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2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4" descr=""/>
                          <pic:cNvPicPr>
                            <a:picLocks noChangeAspect="1" noChangeArrowheads="1"/>
                          </pic:cNvPicPr>
                        </pic:nvPicPr>
                        <pic:blipFill>
                          <a:blip r:embed="rId215"/>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17" w:name="toc36145_14"/>
      <w:bookmarkEnd w:id="17"/>
      <w:r>
        <w:rPr>
          <w:rFonts w:ascii="Arial" w:hAnsi="Arial"/>
          <w:b/>
          <w:color w:val="0A7DAC"/>
          <w:sz w:val="40"/>
        </w:rPr>
        <w:t xml:space="preserve">Executive Officers </w:t>
      </w:r>
    </w:p>
    <w:p>
      <w:pPr>
        <w:pStyle w:val="TextBody"/>
        <w:bidi w:val="0"/>
        <w:spacing w:before="240" w:after="0"/>
        <w:jc w:val="left"/>
        <w:rPr>
          <w:rFonts w:ascii="Arial" w:hAnsi="Arial"/>
          <w:color w:val="191919"/>
          <w:sz w:val="18"/>
        </w:rPr>
      </w:pPr>
      <w:r>
        <w:rPr>
          <w:rFonts w:ascii="Arial" w:hAnsi="Arial"/>
          <w:color w:val="191919"/>
          <w:sz w:val="18"/>
        </w:rPr>
        <w:t xml:space="preserve">The following sets forth information about the Company’s executive officers. Information for Mr. Armes, who is both Chairman of the Board and an executive officer of the Company, is presented above under “Director Nominees for Election—Director Nominee Biographies.”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7"/>
        <w:gridCol w:w="120"/>
        <w:gridCol w:w="1628"/>
        <w:gridCol w:w="120"/>
        <w:gridCol w:w="425"/>
        <w:gridCol w:w="120"/>
        <w:gridCol w:w="1880"/>
        <w:gridCol w:w="120"/>
        <w:gridCol w:w="2720"/>
        <w:gridCol w:w="60"/>
        <w:gridCol w:w="2245"/>
      </w:tblGrid>
      <w:tr>
        <w:trPr/>
        <w:tc>
          <w:tcPr>
            <w:tcW w:w="7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767" w:type="dxa"/>
            <w:tcBorders>
              <w:bottom w:val="single" w:sz="5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628"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Name</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42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Age</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88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Year Joined CSW</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720"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Position With the Company</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2245" w:type="dxa"/>
            <w:tcBorders>
              <w:bottom w:val="single" w:sz="56" w:space="0" w:color="7DB655"/>
            </w:tcBorders>
            <w:tcMar>
              <w:bottom w:w="80" w:type="dxa"/>
            </w:tcMar>
            <w:vAlign w:val="center"/>
          </w:tcPr>
          <w:p>
            <w:pPr>
              <w:pStyle w:val="TableContents"/>
              <w:bidi w:val="0"/>
              <w:spacing w:before="0" w:after="283"/>
              <w:jc w:val="center"/>
              <w:rPr>
                <w:color w:val="191919"/>
              </w:rPr>
            </w:pPr>
            <w:r>
              <w:rPr>
                <w:color w:val="191919"/>
              </w:rPr>
              <w:t>  </w:t>
            </w:r>
            <w:r>
              <w:rPr>
                <w:b/>
                <w:color w:val="191919"/>
              </w:rPr>
              <w:t>In Position Since  </w:t>
            </w:r>
          </w:p>
        </w:tc>
      </w:tr>
      <w:tr>
        <w:trPr/>
        <w:tc>
          <w:tcPr>
            <w:tcW w:w="767"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230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57200" cy="609600"/>
                  <wp:effectExtent l="0" t="0" r="0" b="0"/>
                  <wp:docPr id="22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5" descr=""/>
                          <pic:cNvPicPr>
                            <a:picLocks noChangeAspect="1" noChangeArrowheads="1"/>
                          </pic:cNvPicPr>
                        </pic:nvPicPr>
                        <pic:blipFill>
                          <a:blip r:embed="rId216"/>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b/>
                <w:color w:val="191919"/>
              </w:rPr>
            </w:pPr>
            <w:r>
              <w:rPr>
                <w:b/>
                <w:color w:val="191919"/>
              </w:rPr>
              <w:t>Joseph B. Armes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191919"/>
              </w:rPr>
            </w:pPr>
            <w:r>
              <w:rPr>
                <w:color w:val="191919"/>
              </w:rPr>
              <w:t>64</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color w:val="191919"/>
              </w:rPr>
            </w:pPr>
            <w:r>
              <w:rPr>
                <w:color w:val="191919"/>
              </w:rPr>
              <w:t>2015</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color w:val="191919"/>
              </w:rPr>
            </w:pPr>
            <w:r>
              <w:rPr>
                <w:color w:val="191919"/>
              </w:rPr>
              <w:t>Chairman, CEO and President</w:t>
            </w:r>
          </w:p>
        </w:tc>
        <w:tc>
          <w:tcPr>
            <w:tcW w:w="60" w:type="dxa"/>
            <w:tcBorders/>
            <w:vAlign w:val="center"/>
          </w:tcPr>
          <w:p>
            <w:pPr>
              <w:pStyle w:val="TableContents"/>
              <w:bidi w:val="0"/>
              <w:spacing w:before="0" w:after="283"/>
              <w:jc w:val="left"/>
              <w:rPr/>
            </w:pPr>
            <w:r>
              <w:rPr/>
              <w:t> </w:t>
            </w:r>
          </w:p>
        </w:tc>
        <w:tc>
          <w:tcPr>
            <w:tcW w:w="2245" w:type="dxa"/>
            <w:tcBorders/>
            <w:vAlign w:val="center"/>
          </w:tcPr>
          <w:p>
            <w:pPr>
              <w:pStyle w:val="TableContents"/>
              <w:bidi w:val="0"/>
              <w:spacing w:before="0" w:after="283"/>
              <w:jc w:val="center"/>
              <w:rPr>
                <w:color w:val="191919"/>
              </w:rPr>
            </w:pPr>
            <w:r>
              <w:rPr>
                <w:color w:val="191919"/>
              </w:rPr>
              <w:t>2015</w:t>
            </w:r>
          </w:p>
        </w:tc>
      </w:tr>
      <w:tr>
        <w:trPr/>
        <w:tc>
          <w:tcPr>
            <w:tcW w:w="767" w:type="dxa"/>
            <w:tcBorders/>
            <w:shd w:fill="EDEDED" w:val="clear"/>
            <w:vAlign w:val="center"/>
          </w:tcPr>
          <w:p>
            <w:pPr>
              <w:pStyle w:val="TableContents"/>
              <w:bidi w:val="0"/>
              <w:spacing w:before="0" w:after="283"/>
              <w:jc w:val="left"/>
              <w:rPr>
                <w:sz w:val="4"/>
                <w:szCs w:val="4"/>
              </w:rPr>
            </w:pPr>
            <w:r>
              <w:rPr>
                <w:sz w:val="4"/>
                <w:szCs w:val="4"/>
              </w:rPr>
            </w:r>
          </w:p>
        </w:tc>
        <w:tc>
          <w:tcPr>
            <w:tcW w:w="1748" w:type="dxa"/>
            <w:gridSpan w:val="2"/>
            <w:tcBorders/>
            <w:shd w:fill="EDEDED" w:val="clear"/>
            <w:vAlign w:val="center"/>
          </w:tcPr>
          <w:p>
            <w:pPr>
              <w:pStyle w:val="TableContents"/>
              <w:bidi w:val="0"/>
              <w:spacing w:before="0" w:after="283"/>
              <w:jc w:val="left"/>
              <w:rPr>
                <w:sz w:val="4"/>
                <w:szCs w:val="4"/>
              </w:rPr>
            </w:pPr>
            <w:r>
              <w:rPr>
                <w:sz w:val="4"/>
                <w:szCs w:val="4"/>
              </w:rPr>
            </w:r>
          </w:p>
        </w:tc>
        <w:tc>
          <w:tcPr>
            <w:tcW w:w="545" w:type="dxa"/>
            <w:gridSpan w:val="2"/>
            <w:tcBorders/>
            <w:shd w:fill="EDEDED" w:val="clear"/>
            <w:vAlign w:val="center"/>
          </w:tcPr>
          <w:p>
            <w:pPr>
              <w:pStyle w:val="TableContents"/>
              <w:bidi w:val="0"/>
              <w:spacing w:before="0" w:after="283"/>
              <w:jc w:val="left"/>
              <w:rPr>
                <w:sz w:val="4"/>
                <w:szCs w:val="4"/>
              </w:rPr>
            </w:pPr>
            <w:r>
              <w:rPr>
                <w:sz w:val="4"/>
                <w:szCs w:val="4"/>
              </w:rPr>
            </w:r>
          </w:p>
        </w:tc>
        <w:tc>
          <w:tcPr>
            <w:tcW w:w="2000" w:type="dxa"/>
            <w:gridSpan w:val="2"/>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23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67" w:type="dxa"/>
            <w:tcBorders/>
            <w:shd w:fill="EDEDED" w:val="clear"/>
            <w:vAlign w:val="center"/>
          </w:tcPr>
          <w:p>
            <w:pPr>
              <w:pStyle w:val="TableContents"/>
              <w:bidi w:val="0"/>
              <w:spacing w:before="0" w:after="283"/>
              <w:jc w:val="left"/>
              <w:rPr/>
            </w:pPr>
            <w:r>
              <w:rPr/>
              <w:drawing>
                <wp:inline distT="0" distB="0" distL="0" distR="0">
                  <wp:extent cx="457200" cy="609600"/>
                  <wp:effectExtent l="0" t="0" r="0" b="0"/>
                  <wp:docPr id="22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6" descr=""/>
                          <pic:cNvPicPr>
                            <a:picLocks noChangeAspect="1" noChangeArrowheads="1"/>
                          </pic:cNvPicPr>
                        </pic:nvPicPr>
                        <pic:blipFill>
                          <a:blip r:embed="rId217"/>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1628" w:type="dxa"/>
            <w:tcBorders/>
            <w:shd w:fill="EDEDED" w:val="clear"/>
            <w:vAlign w:val="center"/>
          </w:tcPr>
          <w:p>
            <w:pPr>
              <w:pStyle w:val="TableContents"/>
              <w:bidi w:val="0"/>
              <w:spacing w:before="0" w:after="283"/>
              <w:jc w:val="left"/>
              <w:rPr>
                <w:b/>
                <w:color w:val="191919"/>
              </w:rPr>
            </w:pPr>
            <w:r>
              <w:rPr>
                <w:b/>
                <w:color w:val="191919"/>
              </w:rPr>
              <w:t>James E. Perry</w:t>
            </w:r>
          </w:p>
        </w:tc>
        <w:tc>
          <w:tcPr>
            <w:tcW w:w="12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center"/>
              <w:rPr>
                <w:color w:val="191919"/>
              </w:rPr>
            </w:pPr>
            <w:r>
              <w:rPr>
                <w:color w:val="191919"/>
              </w:rPr>
              <w:t>55</w:t>
            </w:r>
          </w:p>
        </w:tc>
        <w:tc>
          <w:tcPr>
            <w:tcW w:w="120" w:type="dxa"/>
            <w:tcBorders/>
            <w:shd w:fill="EDEDED" w:val="clear"/>
            <w:vAlign w:val="center"/>
          </w:tcPr>
          <w:p>
            <w:pPr>
              <w:pStyle w:val="TableContents"/>
              <w:bidi w:val="0"/>
              <w:spacing w:before="0" w:after="283"/>
              <w:jc w:val="left"/>
              <w:rPr/>
            </w:pPr>
            <w:r>
              <w:rPr/>
              <w:t>  </w:t>
            </w:r>
          </w:p>
        </w:tc>
        <w:tc>
          <w:tcPr>
            <w:tcW w:w="1880" w:type="dxa"/>
            <w:tcBorders/>
            <w:shd w:fill="EDEDED" w:val="clear"/>
            <w:vAlign w:val="center"/>
          </w:tcPr>
          <w:p>
            <w:pPr>
              <w:pStyle w:val="TableContents"/>
              <w:bidi w:val="0"/>
              <w:spacing w:before="0" w:after="283"/>
              <w:jc w:val="center"/>
              <w:rPr>
                <w:color w:val="191919"/>
              </w:rPr>
            </w:pPr>
            <w:r>
              <w:rPr>
                <w:color w:val="191919"/>
              </w:rPr>
              <w:t>2020</w:t>
            </w:r>
          </w:p>
        </w:tc>
        <w:tc>
          <w:tcPr>
            <w:tcW w:w="120" w:type="dxa"/>
            <w:tcBorders/>
            <w:shd w:fill="EDEDED" w:val="clear"/>
            <w:vAlign w:val="center"/>
          </w:tcPr>
          <w:p>
            <w:pPr>
              <w:pStyle w:val="TableContents"/>
              <w:bidi w:val="0"/>
              <w:spacing w:before="0" w:after="283"/>
              <w:jc w:val="left"/>
              <w:rPr/>
            </w:pPr>
            <w:r>
              <w:rPr/>
              <w:t>  </w:t>
            </w:r>
          </w:p>
        </w:tc>
        <w:tc>
          <w:tcPr>
            <w:tcW w:w="2720" w:type="dxa"/>
            <w:tcBorders/>
            <w:shd w:fill="EDEDED" w:val="clear"/>
            <w:vAlign w:val="center"/>
          </w:tcPr>
          <w:p>
            <w:pPr>
              <w:pStyle w:val="TableContents"/>
              <w:bidi w:val="0"/>
              <w:spacing w:before="0" w:after="283"/>
              <w:jc w:val="left"/>
              <w:rPr>
                <w:color w:val="191919"/>
              </w:rPr>
            </w:pPr>
            <w:r>
              <w:rPr>
                <w:color w:val="191919"/>
              </w:rPr>
              <w:t>Executive VP, CFO</w:t>
            </w:r>
          </w:p>
        </w:tc>
        <w:tc>
          <w:tcPr>
            <w:tcW w:w="60" w:type="dxa"/>
            <w:tcBorders/>
            <w:shd w:fill="EDEDED" w:val="clear"/>
            <w:vAlign w:val="center"/>
          </w:tcPr>
          <w:p>
            <w:pPr>
              <w:pStyle w:val="TableContents"/>
              <w:bidi w:val="0"/>
              <w:spacing w:before="0" w:after="283"/>
              <w:jc w:val="left"/>
              <w:rPr/>
            </w:pPr>
            <w:r>
              <w:rPr/>
              <w:t> </w:t>
            </w:r>
          </w:p>
        </w:tc>
        <w:tc>
          <w:tcPr>
            <w:tcW w:w="2245" w:type="dxa"/>
            <w:tcBorders/>
            <w:shd w:fill="EDEDED" w:val="clear"/>
            <w:vAlign w:val="center"/>
          </w:tcPr>
          <w:p>
            <w:pPr>
              <w:pStyle w:val="TableContents"/>
              <w:bidi w:val="0"/>
              <w:spacing w:before="0" w:after="283"/>
              <w:jc w:val="center"/>
              <w:rPr>
                <w:color w:val="191919"/>
              </w:rPr>
            </w:pPr>
            <w:r>
              <w:rPr>
                <w:color w:val="191919"/>
              </w:rPr>
              <w:t>2020</w:t>
            </w:r>
          </w:p>
        </w:tc>
      </w:tr>
      <w:tr>
        <w:trPr/>
        <w:tc>
          <w:tcPr>
            <w:tcW w:w="767"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230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center"/>
          </w:tcPr>
          <w:p>
            <w:pPr>
              <w:pStyle w:val="TableContents"/>
              <w:bidi w:val="0"/>
              <w:spacing w:before="0" w:after="283"/>
              <w:jc w:val="left"/>
              <w:rPr/>
            </w:pPr>
            <w:r>
              <w:rPr/>
              <w:drawing>
                <wp:inline distT="0" distB="0" distL="0" distR="0">
                  <wp:extent cx="457200" cy="609600"/>
                  <wp:effectExtent l="0" t="0" r="0" b="0"/>
                  <wp:docPr id="22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7" descr=""/>
                          <pic:cNvPicPr>
                            <a:picLocks noChangeAspect="1" noChangeArrowheads="1"/>
                          </pic:cNvPicPr>
                        </pic:nvPicPr>
                        <pic:blipFill>
                          <a:blip r:embed="rId218"/>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b/>
                <w:color w:val="191919"/>
              </w:rPr>
            </w:pPr>
            <w:r>
              <w:rPr>
                <w:b/>
                <w:color w:val="191919"/>
              </w:rPr>
              <w:t>Donal J. Sullivan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191919"/>
              </w:rPr>
            </w:pPr>
            <w:r>
              <w:rPr>
                <w:color w:val="191919"/>
              </w:rPr>
              <w:t>63</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color w:val="191919"/>
              </w:rPr>
            </w:pPr>
            <w:r>
              <w:rPr>
                <w:color w:val="191919"/>
              </w:rPr>
              <w:t>2015</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color w:val="191919"/>
              </w:rPr>
            </w:pPr>
            <w:r>
              <w:rPr>
                <w:color w:val="191919"/>
              </w:rPr>
              <w:t>Executive VP, Chief Strategy Officer</w:t>
            </w:r>
          </w:p>
        </w:tc>
        <w:tc>
          <w:tcPr>
            <w:tcW w:w="60" w:type="dxa"/>
            <w:tcBorders/>
            <w:vAlign w:val="center"/>
          </w:tcPr>
          <w:p>
            <w:pPr>
              <w:pStyle w:val="TableContents"/>
              <w:bidi w:val="0"/>
              <w:spacing w:before="0" w:after="283"/>
              <w:jc w:val="left"/>
              <w:rPr/>
            </w:pPr>
            <w:r>
              <w:rPr/>
              <w:t> </w:t>
            </w:r>
          </w:p>
        </w:tc>
        <w:tc>
          <w:tcPr>
            <w:tcW w:w="2245" w:type="dxa"/>
            <w:tcBorders/>
            <w:vAlign w:val="center"/>
          </w:tcPr>
          <w:p>
            <w:pPr>
              <w:pStyle w:val="TableContents"/>
              <w:bidi w:val="0"/>
              <w:spacing w:before="0" w:after="283"/>
              <w:jc w:val="center"/>
              <w:rPr>
                <w:color w:val="191919"/>
              </w:rPr>
            </w:pPr>
            <w:r>
              <w:rPr>
                <w:color w:val="191919"/>
              </w:rPr>
              <w:t>2024</w:t>
            </w:r>
          </w:p>
        </w:tc>
      </w:tr>
      <w:tr>
        <w:trPr/>
        <w:tc>
          <w:tcPr>
            <w:tcW w:w="767" w:type="dxa"/>
            <w:tcBorders/>
            <w:shd w:fill="EDEDED" w:val="clear"/>
            <w:vAlign w:val="center"/>
          </w:tcPr>
          <w:p>
            <w:pPr>
              <w:pStyle w:val="TableContents"/>
              <w:bidi w:val="0"/>
              <w:spacing w:before="0" w:after="283"/>
              <w:jc w:val="left"/>
              <w:rPr>
                <w:sz w:val="4"/>
                <w:szCs w:val="4"/>
              </w:rPr>
            </w:pPr>
            <w:r>
              <w:rPr>
                <w:sz w:val="4"/>
                <w:szCs w:val="4"/>
              </w:rPr>
            </w:r>
          </w:p>
        </w:tc>
        <w:tc>
          <w:tcPr>
            <w:tcW w:w="1748" w:type="dxa"/>
            <w:gridSpan w:val="2"/>
            <w:tcBorders/>
            <w:shd w:fill="EDEDED" w:val="clear"/>
            <w:vAlign w:val="center"/>
          </w:tcPr>
          <w:p>
            <w:pPr>
              <w:pStyle w:val="TableContents"/>
              <w:bidi w:val="0"/>
              <w:spacing w:before="0" w:after="283"/>
              <w:jc w:val="left"/>
              <w:rPr>
                <w:sz w:val="4"/>
                <w:szCs w:val="4"/>
              </w:rPr>
            </w:pPr>
            <w:r>
              <w:rPr>
                <w:sz w:val="4"/>
                <w:szCs w:val="4"/>
              </w:rPr>
            </w:r>
          </w:p>
        </w:tc>
        <w:tc>
          <w:tcPr>
            <w:tcW w:w="545" w:type="dxa"/>
            <w:gridSpan w:val="2"/>
            <w:tcBorders/>
            <w:shd w:fill="EDEDED" w:val="clear"/>
            <w:vAlign w:val="center"/>
          </w:tcPr>
          <w:p>
            <w:pPr>
              <w:pStyle w:val="TableContents"/>
              <w:bidi w:val="0"/>
              <w:spacing w:before="0" w:after="283"/>
              <w:jc w:val="left"/>
              <w:rPr>
                <w:sz w:val="4"/>
                <w:szCs w:val="4"/>
              </w:rPr>
            </w:pPr>
            <w:r>
              <w:rPr>
                <w:sz w:val="4"/>
                <w:szCs w:val="4"/>
              </w:rPr>
            </w:r>
          </w:p>
        </w:tc>
        <w:tc>
          <w:tcPr>
            <w:tcW w:w="2000" w:type="dxa"/>
            <w:gridSpan w:val="2"/>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23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67" w:type="dxa"/>
            <w:tcBorders/>
            <w:shd w:fill="EDEDED" w:val="clear"/>
            <w:vAlign w:val="center"/>
          </w:tcPr>
          <w:p>
            <w:pPr>
              <w:pStyle w:val="TableContents"/>
              <w:bidi w:val="0"/>
              <w:spacing w:before="0" w:after="283"/>
              <w:jc w:val="left"/>
              <w:rPr/>
            </w:pPr>
            <w:r>
              <w:rPr/>
              <w:drawing>
                <wp:inline distT="0" distB="0" distL="0" distR="0">
                  <wp:extent cx="457200" cy="609600"/>
                  <wp:effectExtent l="0" t="0" r="0" b="0"/>
                  <wp:docPr id="22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8" descr=""/>
                          <pic:cNvPicPr>
                            <a:picLocks noChangeAspect="1" noChangeArrowheads="1"/>
                          </pic:cNvPicPr>
                        </pic:nvPicPr>
                        <pic:blipFill>
                          <a:blip r:embed="rId219"/>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1628" w:type="dxa"/>
            <w:tcBorders/>
            <w:shd w:fill="EDEDED" w:val="clear"/>
            <w:vAlign w:val="center"/>
          </w:tcPr>
          <w:p>
            <w:pPr>
              <w:pStyle w:val="TableContents"/>
              <w:bidi w:val="0"/>
              <w:spacing w:before="0" w:after="283"/>
              <w:jc w:val="left"/>
              <w:rPr>
                <w:b/>
                <w:color w:val="191919"/>
              </w:rPr>
            </w:pPr>
            <w:r>
              <w:rPr>
                <w:b/>
                <w:color w:val="191919"/>
              </w:rPr>
              <w:t>Jeff A. Underwood</w:t>
            </w:r>
          </w:p>
        </w:tc>
        <w:tc>
          <w:tcPr>
            <w:tcW w:w="12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center"/>
              <w:rPr>
                <w:color w:val="191919"/>
              </w:rPr>
            </w:pPr>
            <w:r>
              <w:rPr>
                <w:color w:val="191919"/>
              </w:rPr>
              <w:t>44</w:t>
            </w:r>
          </w:p>
        </w:tc>
        <w:tc>
          <w:tcPr>
            <w:tcW w:w="120" w:type="dxa"/>
            <w:tcBorders/>
            <w:shd w:fill="EDEDED" w:val="clear"/>
            <w:vAlign w:val="center"/>
          </w:tcPr>
          <w:p>
            <w:pPr>
              <w:pStyle w:val="TableContents"/>
              <w:bidi w:val="0"/>
              <w:spacing w:before="0" w:after="283"/>
              <w:jc w:val="left"/>
              <w:rPr/>
            </w:pPr>
            <w:r>
              <w:rPr/>
              <w:t>  </w:t>
            </w:r>
          </w:p>
        </w:tc>
        <w:tc>
          <w:tcPr>
            <w:tcW w:w="1880" w:type="dxa"/>
            <w:tcBorders/>
            <w:shd w:fill="EDEDED" w:val="clear"/>
            <w:vAlign w:val="center"/>
          </w:tcPr>
          <w:p>
            <w:pPr>
              <w:pStyle w:val="TableContents"/>
              <w:bidi w:val="0"/>
              <w:spacing w:before="0" w:after="283"/>
              <w:jc w:val="center"/>
              <w:rPr>
                <w:color w:val="191919"/>
              </w:rPr>
            </w:pPr>
            <w:r>
              <w:rPr>
                <w:color w:val="191919"/>
              </w:rPr>
              <w:t>2018</w:t>
            </w:r>
          </w:p>
        </w:tc>
        <w:tc>
          <w:tcPr>
            <w:tcW w:w="120" w:type="dxa"/>
            <w:tcBorders/>
            <w:shd w:fill="EDEDED" w:val="clear"/>
            <w:vAlign w:val="center"/>
          </w:tcPr>
          <w:p>
            <w:pPr>
              <w:pStyle w:val="TableContents"/>
              <w:bidi w:val="0"/>
              <w:spacing w:before="0" w:after="283"/>
              <w:jc w:val="left"/>
              <w:rPr/>
            </w:pPr>
            <w:r>
              <w:rPr/>
              <w:t>  </w:t>
            </w:r>
          </w:p>
        </w:tc>
        <w:tc>
          <w:tcPr>
            <w:tcW w:w="2720" w:type="dxa"/>
            <w:tcBorders/>
            <w:shd w:fill="EDEDED" w:val="clear"/>
            <w:vAlign w:val="center"/>
          </w:tcPr>
          <w:p>
            <w:pPr>
              <w:pStyle w:val="TableContents"/>
              <w:bidi w:val="0"/>
              <w:spacing w:before="0" w:after="283"/>
              <w:jc w:val="left"/>
              <w:rPr>
                <w:color w:val="191919"/>
              </w:rPr>
            </w:pPr>
            <w:r>
              <w:rPr>
                <w:color w:val="191919"/>
              </w:rPr>
              <w:t>Executive VP &amp; GM, Contractor Solutions</w:t>
            </w:r>
          </w:p>
        </w:tc>
        <w:tc>
          <w:tcPr>
            <w:tcW w:w="60" w:type="dxa"/>
            <w:tcBorders/>
            <w:shd w:fill="EDEDED" w:val="clear"/>
            <w:vAlign w:val="center"/>
          </w:tcPr>
          <w:p>
            <w:pPr>
              <w:pStyle w:val="TableContents"/>
              <w:bidi w:val="0"/>
              <w:spacing w:before="0" w:after="283"/>
              <w:jc w:val="left"/>
              <w:rPr/>
            </w:pPr>
            <w:r>
              <w:rPr/>
              <w:t> </w:t>
            </w:r>
          </w:p>
        </w:tc>
        <w:tc>
          <w:tcPr>
            <w:tcW w:w="2245" w:type="dxa"/>
            <w:tcBorders/>
            <w:shd w:fill="EDEDED" w:val="clear"/>
            <w:vAlign w:val="center"/>
          </w:tcPr>
          <w:p>
            <w:pPr>
              <w:pStyle w:val="TableContents"/>
              <w:bidi w:val="0"/>
              <w:spacing w:before="0" w:after="283"/>
              <w:jc w:val="center"/>
              <w:rPr>
                <w:color w:val="191919"/>
              </w:rPr>
            </w:pPr>
            <w:r>
              <w:rPr>
                <w:color w:val="191919"/>
              </w:rPr>
              <w:t>2026</w:t>
            </w:r>
          </w:p>
        </w:tc>
      </w:tr>
      <w:tr>
        <w:trPr/>
        <w:tc>
          <w:tcPr>
            <w:tcW w:w="767"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230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vAlign w:val="center"/>
          </w:tcPr>
          <w:p>
            <w:pPr>
              <w:pStyle w:val="TableContents"/>
              <w:bidi w:val="0"/>
              <w:spacing w:before="0" w:after="283"/>
              <w:jc w:val="left"/>
              <w:rPr/>
            </w:pPr>
            <w:r>
              <w:rPr/>
              <w:drawing>
                <wp:inline distT="0" distB="0" distL="0" distR="0">
                  <wp:extent cx="457200" cy="609600"/>
                  <wp:effectExtent l="0" t="0" r="0" b="0"/>
                  <wp:docPr id="22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9" descr=""/>
                          <pic:cNvPicPr>
                            <a:picLocks noChangeAspect="1" noChangeArrowheads="1"/>
                          </pic:cNvPicPr>
                        </pic:nvPicPr>
                        <pic:blipFill>
                          <a:blip r:embed="rId220"/>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left"/>
              <w:rPr>
                <w:b/>
                <w:color w:val="191919"/>
              </w:rPr>
            </w:pPr>
            <w:r>
              <w:rPr>
                <w:b/>
                <w:color w:val="191919"/>
              </w:rPr>
              <w:t>Luke E. Alverson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191919"/>
              </w:rPr>
            </w:pPr>
            <w:r>
              <w:rPr>
                <w:color w:val="191919"/>
              </w:rPr>
              <w:t>48</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color w:val="191919"/>
              </w:rPr>
            </w:pPr>
            <w:r>
              <w:rPr>
                <w:color w:val="191919"/>
              </w:rPr>
              <w:t>2016</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color w:val="191919"/>
              </w:rPr>
            </w:pPr>
            <w:r>
              <w:rPr>
                <w:color w:val="191919"/>
              </w:rPr>
              <w:t>Senior VP, General Counsel and Secretary</w:t>
            </w:r>
          </w:p>
        </w:tc>
        <w:tc>
          <w:tcPr>
            <w:tcW w:w="60" w:type="dxa"/>
            <w:tcBorders/>
            <w:vAlign w:val="center"/>
          </w:tcPr>
          <w:p>
            <w:pPr>
              <w:pStyle w:val="TableContents"/>
              <w:bidi w:val="0"/>
              <w:spacing w:before="0" w:after="283"/>
              <w:jc w:val="left"/>
              <w:rPr/>
            </w:pPr>
            <w:r>
              <w:rPr/>
              <w:t> </w:t>
            </w:r>
          </w:p>
        </w:tc>
        <w:tc>
          <w:tcPr>
            <w:tcW w:w="2245" w:type="dxa"/>
            <w:tcBorders/>
            <w:vAlign w:val="center"/>
          </w:tcPr>
          <w:p>
            <w:pPr>
              <w:pStyle w:val="TableContents"/>
              <w:bidi w:val="0"/>
              <w:spacing w:before="0" w:after="283"/>
              <w:jc w:val="center"/>
              <w:rPr>
                <w:color w:val="191919"/>
              </w:rPr>
            </w:pPr>
            <w:r>
              <w:rPr>
                <w:color w:val="191919"/>
              </w:rPr>
              <w:t>2016</w:t>
            </w:r>
          </w:p>
        </w:tc>
      </w:tr>
      <w:tr>
        <w:trPr/>
        <w:tc>
          <w:tcPr>
            <w:tcW w:w="767" w:type="dxa"/>
            <w:tcBorders/>
            <w:shd w:fill="EDEDED" w:val="clear"/>
            <w:vAlign w:val="center"/>
          </w:tcPr>
          <w:p>
            <w:pPr>
              <w:pStyle w:val="TableContents"/>
              <w:bidi w:val="0"/>
              <w:spacing w:before="0" w:after="283"/>
              <w:jc w:val="left"/>
              <w:rPr>
                <w:sz w:val="4"/>
                <w:szCs w:val="4"/>
              </w:rPr>
            </w:pPr>
            <w:r>
              <w:rPr>
                <w:sz w:val="4"/>
                <w:szCs w:val="4"/>
              </w:rPr>
            </w:r>
          </w:p>
        </w:tc>
        <w:tc>
          <w:tcPr>
            <w:tcW w:w="1748" w:type="dxa"/>
            <w:gridSpan w:val="2"/>
            <w:tcBorders/>
            <w:shd w:fill="EDEDED" w:val="clear"/>
            <w:vAlign w:val="center"/>
          </w:tcPr>
          <w:p>
            <w:pPr>
              <w:pStyle w:val="TableContents"/>
              <w:bidi w:val="0"/>
              <w:spacing w:before="0" w:after="283"/>
              <w:jc w:val="left"/>
              <w:rPr>
                <w:sz w:val="4"/>
                <w:szCs w:val="4"/>
              </w:rPr>
            </w:pPr>
            <w:r>
              <w:rPr>
                <w:sz w:val="4"/>
                <w:szCs w:val="4"/>
              </w:rPr>
            </w:r>
          </w:p>
        </w:tc>
        <w:tc>
          <w:tcPr>
            <w:tcW w:w="545" w:type="dxa"/>
            <w:gridSpan w:val="2"/>
            <w:tcBorders/>
            <w:shd w:fill="EDEDED" w:val="clear"/>
            <w:vAlign w:val="center"/>
          </w:tcPr>
          <w:p>
            <w:pPr>
              <w:pStyle w:val="TableContents"/>
              <w:bidi w:val="0"/>
              <w:spacing w:before="0" w:after="283"/>
              <w:jc w:val="left"/>
              <w:rPr>
                <w:sz w:val="4"/>
                <w:szCs w:val="4"/>
              </w:rPr>
            </w:pPr>
            <w:r>
              <w:rPr>
                <w:sz w:val="4"/>
                <w:szCs w:val="4"/>
              </w:rPr>
            </w:r>
          </w:p>
        </w:tc>
        <w:tc>
          <w:tcPr>
            <w:tcW w:w="2000" w:type="dxa"/>
            <w:gridSpan w:val="2"/>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c>
          <w:tcPr>
            <w:tcW w:w="23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767" w:type="dxa"/>
            <w:tcBorders/>
            <w:shd w:fill="EDEDED" w:val="clear"/>
            <w:vAlign w:val="center"/>
          </w:tcPr>
          <w:p>
            <w:pPr>
              <w:pStyle w:val="TableContents"/>
              <w:bidi w:val="0"/>
              <w:spacing w:before="0" w:after="283"/>
              <w:jc w:val="left"/>
              <w:rPr/>
            </w:pPr>
            <w:r>
              <w:rPr/>
              <w:drawing>
                <wp:inline distT="0" distB="0" distL="0" distR="0">
                  <wp:extent cx="457200" cy="609600"/>
                  <wp:effectExtent l="0" t="0" r="0" b="0"/>
                  <wp:docPr id="22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0" descr=""/>
                          <pic:cNvPicPr>
                            <a:picLocks noChangeAspect="1" noChangeArrowheads="1"/>
                          </pic:cNvPicPr>
                        </pic:nvPicPr>
                        <pic:blipFill>
                          <a:blip r:embed="rId221"/>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1628" w:type="dxa"/>
            <w:tcBorders/>
            <w:shd w:fill="EDEDED" w:val="clear"/>
            <w:vAlign w:val="center"/>
          </w:tcPr>
          <w:p>
            <w:pPr>
              <w:pStyle w:val="TableContents"/>
              <w:bidi w:val="0"/>
              <w:spacing w:before="0" w:after="283"/>
              <w:jc w:val="left"/>
              <w:rPr>
                <w:b/>
                <w:color w:val="191919"/>
              </w:rPr>
            </w:pPr>
            <w:r>
              <w:rPr>
                <w:b/>
                <w:color w:val="191919"/>
              </w:rPr>
              <w:t>Danielle R. Garde</w:t>
            </w:r>
          </w:p>
        </w:tc>
        <w:tc>
          <w:tcPr>
            <w:tcW w:w="12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center"/>
              <w:rPr>
                <w:color w:val="191919"/>
              </w:rPr>
            </w:pPr>
            <w:r>
              <w:rPr>
                <w:color w:val="191919"/>
              </w:rPr>
              <w:t>55</w:t>
            </w:r>
          </w:p>
        </w:tc>
        <w:tc>
          <w:tcPr>
            <w:tcW w:w="120" w:type="dxa"/>
            <w:tcBorders/>
            <w:shd w:fill="EDEDED" w:val="clear"/>
            <w:vAlign w:val="center"/>
          </w:tcPr>
          <w:p>
            <w:pPr>
              <w:pStyle w:val="TableContents"/>
              <w:bidi w:val="0"/>
              <w:spacing w:before="0" w:after="283"/>
              <w:jc w:val="left"/>
              <w:rPr/>
            </w:pPr>
            <w:r>
              <w:rPr/>
              <w:t>  </w:t>
            </w:r>
          </w:p>
        </w:tc>
        <w:tc>
          <w:tcPr>
            <w:tcW w:w="1880" w:type="dxa"/>
            <w:tcBorders/>
            <w:shd w:fill="EDEDED" w:val="clear"/>
            <w:vAlign w:val="center"/>
          </w:tcPr>
          <w:p>
            <w:pPr>
              <w:pStyle w:val="TableContents"/>
              <w:bidi w:val="0"/>
              <w:spacing w:before="0" w:after="283"/>
              <w:jc w:val="center"/>
              <w:rPr>
                <w:color w:val="191919"/>
              </w:rPr>
            </w:pPr>
            <w:r>
              <w:rPr>
                <w:color w:val="191919"/>
              </w:rPr>
              <w:t>2022</w:t>
            </w:r>
          </w:p>
        </w:tc>
        <w:tc>
          <w:tcPr>
            <w:tcW w:w="120" w:type="dxa"/>
            <w:tcBorders/>
            <w:shd w:fill="EDEDED" w:val="clear"/>
            <w:vAlign w:val="center"/>
          </w:tcPr>
          <w:p>
            <w:pPr>
              <w:pStyle w:val="TableContents"/>
              <w:bidi w:val="0"/>
              <w:spacing w:before="0" w:after="283"/>
              <w:jc w:val="left"/>
              <w:rPr/>
            </w:pPr>
            <w:r>
              <w:rPr/>
              <w:t>  </w:t>
            </w:r>
          </w:p>
        </w:tc>
        <w:tc>
          <w:tcPr>
            <w:tcW w:w="2720" w:type="dxa"/>
            <w:tcBorders/>
            <w:shd w:fill="EDEDED" w:val="clear"/>
            <w:vAlign w:val="center"/>
          </w:tcPr>
          <w:p>
            <w:pPr>
              <w:pStyle w:val="TableContents"/>
              <w:bidi w:val="0"/>
              <w:spacing w:before="0" w:after="283"/>
              <w:jc w:val="left"/>
              <w:rPr>
                <w:color w:val="191919"/>
              </w:rPr>
            </w:pPr>
            <w:r>
              <w:rPr>
                <w:color w:val="191919"/>
              </w:rPr>
              <w:t>Senior VP, Chief People Officer</w:t>
            </w:r>
          </w:p>
        </w:tc>
        <w:tc>
          <w:tcPr>
            <w:tcW w:w="60" w:type="dxa"/>
            <w:tcBorders/>
            <w:shd w:fill="EDEDED" w:val="clear"/>
            <w:vAlign w:val="center"/>
          </w:tcPr>
          <w:p>
            <w:pPr>
              <w:pStyle w:val="TableContents"/>
              <w:bidi w:val="0"/>
              <w:spacing w:before="0" w:after="283"/>
              <w:jc w:val="left"/>
              <w:rPr/>
            </w:pPr>
            <w:r>
              <w:rPr/>
              <w:t> </w:t>
            </w:r>
          </w:p>
        </w:tc>
        <w:tc>
          <w:tcPr>
            <w:tcW w:w="2245" w:type="dxa"/>
            <w:tcBorders/>
            <w:shd w:fill="EDEDED" w:val="clear"/>
            <w:vAlign w:val="center"/>
          </w:tcPr>
          <w:p>
            <w:pPr>
              <w:pStyle w:val="TableContents"/>
              <w:bidi w:val="0"/>
              <w:spacing w:before="0" w:after="283"/>
              <w:jc w:val="center"/>
              <w:rPr>
                <w:color w:val="191919"/>
              </w:rPr>
            </w:pPr>
            <w:r>
              <w:rPr>
                <w:color w:val="191919"/>
              </w:rPr>
              <w:t>2022</w:t>
            </w:r>
          </w:p>
        </w:tc>
      </w:tr>
      <w:tr>
        <w:trPr/>
        <w:tc>
          <w:tcPr>
            <w:tcW w:w="767" w:type="dxa"/>
            <w:tcBorders/>
            <w:vAlign w:val="center"/>
          </w:tcPr>
          <w:p>
            <w:pPr>
              <w:pStyle w:val="TableContents"/>
              <w:bidi w:val="0"/>
              <w:spacing w:before="0" w:after="283"/>
              <w:jc w:val="left"/>
              <w:rPr>
                <w:sz w:val="4"/>
                <w:szCs w:val="4"/>
              </w:rPr>
            </w:pPr>
            <w:r>
              <w:rPr>
                <w:sz w:val="4"/>
                <w:szCs w:val="4"/>
              </w:rPr>
            </w:r>
          </w:p>
        </w:tc>
        <w:tc>
          <w:tcPr>
            <w:tcW w:w="1748"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c>
          <w:tcPr>
            <w:tcW w:w="2305" w:type="dxa"/>
            <w:gridSpan w:val="2"/>
            <w:tcBorders/>
            <w:vAlign w:val="center"/>
          </w:tcPr>
          <w:p>
            <w:pPr>
              <w:pStyle w:val="TableContents"/>
              <w:bidi w:val="0"/>
              <w:spacing w:before="0" w:after="283"/>
              <w:jc w:val="left"/>
              <w:rPr>
                <w:sz w:val="4"/>
                <w:szCs w:val="4"/>
              </w:rPr>
            </w:pPr>
            <w:r>
              <w:rPr>
                <w:sz w:val="4"/>
                <w:szCs w:val="4"/>
              </w:rPr>
            </w:r>
          </w:p>
        </w:tc>
      </w:tr>
      <w:tr>
        <w:trPr/>
        <w:tc>
          <w:tcPr>
            <w:tcW w:w="767" w:type="dxa"/>
            <w:tcBorders>
              <w:bottom w:val="single" w:sz="6" w:space="0" w:color="7DB655"/>
            </w:tcBorders>
            <w:tcMar>
              <w:bottom w:w="60" w:type="dxa"/>
            </w:tcMar>
            <w:vAlign w:val="center"/>
          </w:tcPr>
          <w:p>
            <w:pPr>
              <w:pStyle w:val="TableContents"/>
              <w:bidi w:val="0"/>
              <w:spacing w:before="0" w:after="283"/>
              <w:jc w:val="left"/>
              <w:rPr/>
            </w:pPr>
            <w:r>
              <w:rPr/>
              <w:drawing>
                <wp:inline distT="0" distB="0" distL="0" distR="0">
                  <wp:extent cx="457200" cy="609600"/>
                  <wp:effectExtent l="0" t="0" r="0" b="0"/>
                  <wp:docPr id="22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1" descr=""/>
                          <pic:cNvPicPr>
                            <a:picLocks noChangeAspect="1" noChangeArrowheads="1"/>
                          </pic:cNvPicPr>
                        </pic:nvPicPr>
                        <pic:blipFill>
                          <a:blip r:embed="rId222"/>
                          <a:stretch>
                            <a:fillRect/>
                          </a:stretch>
                        </pic:blipFill>
                        <pic:spPr bwMode="auto">
                          <a:xfrm>
                            <a:off x="0" y="0"/>
                            <a:ext cx="457200" cy="60960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628" w:type="dxa"/>
            <w:tcBorders>
              <w:bottom w:val="single" w:sz="6" w:space="0" w:color="7DB655"/>
            </w:tcBorders>
            <w:tcMar>
              <w:bottom w:w="60" w:type="dxa"/>
            </w:tcMar>
            <w:vAlign w:val="center"/>
          </w:tcPr>
          <w:p>
            <w:pPr>
              <w:pStyle w:val="TableContents"/>
              <w:bidi w:val="0"/>
              <w:spacing w:before="0" w:after="283"/>
              <w:jc w:val="left"/>
              <w:rPr>
                <w:b/>
                <w:color w:val="191919"/>
              </w:rPr>
            </w:pPr>
            <w:r>
              <w:rPr>
                <w:b/>
                <w:color w:val="191919"/>
              </w:rPr>
              <w:t>Fang Wang</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25"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49</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880"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2018</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272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VP, Chief Accounting Officer</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45"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2025</w:t>
            </w:r>
          </w:p>
        </w:tc>
      </w:tr>
    </w:tbl>
    <w:p>
      <w:pPr>
        <w:pStyle w:val="TextBody"/>
        <w:bidi w:val="0"/>
        <w:spacing w:before="240" w:after="0"/>
        <w:jc w:val="left"/>
        <w:rPr>
          <w:rFonts w:ascii="Arial" w:hAnsi="Arial"/>
          <w:color w:val="191919"/>
          <w:sz w:val="18"/>
        </w:rPr>
      </w:pPr>
      <w:r>
        <w:rPr>
          <w:rFonts w:ascii="Arial" w:hAnsi="Arial"/>
          <w:b/>
          <w:i/>
          <w:color w:val="191919"/>
          <w:sz w:val="18"/>
        </w:rPr>
        <w:t>James E. Perry</w:t>
      </w:r>
      <w:r>
        <w:rPr>
          <w:rFonts w:ascii="Arial" w:hAnsi="Arial"/>
          <w:color w:val="191919"/>
          <w:sz w:val="18"/>
        </w:rPr>
        <w:t xml:space="preserve"> has served as Executive Vice President and Chief Financial Officer since June 2020. From 2004 through May 2020, Mr. Perry served in senior financial leadership roles with Trinity Industries, a publicly held, diversified industrial company, including serving as Chief Financial Officer from May 2010 to February 2019. From 2001 to 2004, Mr. Perry served in senior financial leadership roles at RMH Teleservices, a telemarketing and customer service company, including serving as Chief Financial Officer. Mr. Perry began his career at JP Morgan Chase &amp; Co. in the investment banking division, and he also served in a consulting group within Ernst &amp; Young LLP. </w:t>
      </w:r>
    </w:p>
    <w:p>
      <w:pPr>
        <w:pStyle w:val="TextBody"/>
        <w:bidi w:val="0"/>
        <w:spacing w:before="240" w:after="0"/>
        <w:jc w:val="left"/>
        <w:rPr>
          <w:rFonts w:ascii="Arial" w:hAnsi="Arial"/>
          <w:color w:val="191919"/>
          <w:sz w:val="18"/>
        </w:rPr>
      </w:pPr>
      <w:r>
        <w:rPr>
          <w:rFonts w:ascii="Arial" w:hAnsi="Arial"/>
          <w:b/>
          <w:i/>
          <w:color w:val="191919"/>
          <w:sz w:val="18"/>
        </w:rPr>
        <w:t>Donal J. Sullivan</w:t>
      </w:r>
      <w:r>
        <w:rPr>
          <w:rFonts w:ascii="Arial" w:hAnsi="Arial"/>
          <w:color w:val="191919"/>
          <w:sz w:val="18"/>
        </w:rPr>
        <w:t xml:space="preserve"> has served as Chief Strategy Officer since April 2024 and as Executive Vice President since May 2020. Previously, Mr. Sullivan served as General Manager, Contractor Solutions from May 2020 through March 2024, and as Senior Vice President &amp; General Manager, Industrial Products from January 2016 through May 2020. From May 2015 to January 2016, Mr. Sullivan was the Chief Operating Officer for RectorSeal, the Company’s operating subsidiary now within the Contractor Solutions segment. From October 2010 to April 2015, he served as Division President of Goodman Global, a member of the Daikin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3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2" descr=""/>
                          <pic:cNvPicPr>
                            <a:picLocks noChangeAspect="1" noChangeArrowheads="1"/>
                          </pic:cNvPicPr>
                        </pic:nvPicPr>
                        <pic:blipFill>
                          <a:blip r:embed="rId22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Officers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Group, a leading global HVAC manufacturer. Prior to 2005, Mr. Sullivan held a variety of management positions at Carrier Corporation, a leading heating, air-conditioning, and refrigeration solutions company, including sales, product management, and general management. </w:t>
      </w:r>
    </w:p>
    <w:p>
      <w:pPr>
        <w:pStyle w:val="TextBody"/>
        <w:bidi w:val="0"/>
        <w:spacing w:before="240" w:after="0"/>
        <w:jc w:val="left"/>
        <w:rPr>
          <w:rFonts w:ascii="Arial" w:hAnsi="Arial"/>
          <w:color w:val="191919"/>
          <w:sz w:val="18"/>
        </w:rPr>
      </w:pPr>
      <w:r>
        <w:rPr>
          <w:rFonts w:ascii="Arial" w:hAnsi="Arial"/>
          <w:b/>
          <w:i/>
          <w:color w:val="191919"/>
          <w:sz w:val="18"/>
        </w:rPr>
        <w:t>Jeff A. Underwood</w:t>
      </w:r>
      <w:r>
        <w:rPr>
          <w:rFonts w:ascii="Arial" w:hAnsi="Arial"/>
          <w:color w:val="191919"/>
          <w:sz w:val="18"/>
        </w:rPr>
        <w:t xml:space="preserve"> has served as Executive Vice President &amp; General Manager, Contractor Solutions since May 2026, serving previously as Senior Vice President &amp; General Manager, Contractor Solutions since April 2024. From May 2021 through March 2024, he served as Senior Vice President, Sales &amp; Marketing, for RectorSeal, the Company’s operating subsidiary within the Contractor Solutions segment, and from September 2018 through April 2021, he served as Vice President of Sales for RectorSeal. Prior to joining the Company, Mr. Underwood held roles of increasing responsibility at Goodman Manufacturing, a leading manufacturer of HVAC products and systems and an independent subsidiary of Daikin Group, where he served most recently as Vice President of Marketing. Prior to his time with Goodman Manufacturing, Mr. Underwood was a manager at Bain &amp; Company, a business consulting firm. </w:t>
      </w:r>
    </w:p>
    <w:p>
      <w:pPr>
        <w:pStyle w:val="TextBody"/>
        <w:bidi w:val="0"/>
        <w:spacing w:before="240" w:after="0"/>
        <w:jc w:val="left"/>
        <w:rPr>
          <w:rFonts w:ascii="Arial" w:hAnsi="Arial"/>
          <w:color w:val="191919"/>
          <w:sz w:val="18"/>
        </w:rPr>
      </w:pPr>
      <w:r>
        <w:rPr>
          <w:rFonts w:ascii="Arial" w:hAnsi="Arial"/>
          <w:b/>
          <w:i/>
          <w:color w:val="191919"/>
          <w:sz w:val="18"/>
        </w:rPr>
        <w:t>Luke E. Alverson</w:t>
      </w:r>
      <w:r>
        <w:rPr>
          <w:rFonts w:ascii="Arial" w:hAnsi="Arial"/>
          <w:color w:val="191919"/>
          <w:sz w:val="18"/>
        </w:rPr>
        <w:t xml:space="preserve"> has served as Senior Vice President, General Counsel and Secretary since February 2016. From May 2008 to February 2016, he held roles of increasing responsibility with Flowserve Corporation, a leading global manufacturer of fluid motion control products and provider of related services, serving most recently as Vice President, Corporate Legal Services, and Assistant Secretary. Prior to 2008, Mr. Alverson was associated with the law firms of Vinson &amp; Elkins, LLP in Dallas, Texas, and Hallett &amp; Perrin, P.C., in Dallas, Texas. </w:t>
      </w:r>
    </w:p>
    <w:p>
      <w:pPr>
        <w:pStyle w:val="TextBody"/>
        <w:bidi w:val="0"/>
        <w:spacing w:before="240" w:after="0"/>
        <w:jc w:val="left"/>
        <w:rPr>
          <w:rFonts w:ascii="Arial" w:hAnsi="Arial"/>
          <w:color w:val="191919"/>
          <w:sz w:val="18"/>
        </w:rPr>
      </w:pPr>
      <w:r>
        <w:rPr>
          <w:rFonts w:ascii="Arial" w:hAnsi="Arial"/>
          <w:b/>
          <w:i/>
          <w:color w:val="191919"/>
          <w:sz w:val="18"/>
        </w:rPr>
        <w:t>Danielle R. Garde</w:t>
      </w:r>
      <w:r>
        <w:rPr>
          <w:rFonts w:ascii="Arial" w:hAnsi="Arial"/>
          <w:color w:val="191919"/>
          <w:sz w:val="18"/>
        </w:rPr>
        <w:t xml:space="preserve"> has served as Senior Vice President and Chief People Officer since October 2022. From June 2020 to October 2022, she was the Chief Human Resources Officer at Play Power, Inc., a privately held producer of recreation equipment. From March 2014 to February 2020, Ms. Garde held roles of increasing responsibility with KidKraft, Inc., a privately held producer of children’s toys and furniture, last serving as Vice President, Human Resources. Prior to this, from 2007 to 2014, she served in several senior leadership roles at Danone North America, a food and beverage company, last serving as Senior Director, North America Operations. Additionally, she developed deep human resources acumen between 1993 and 2007 in numerous organizational development roles at J.P. Morgan, Unilever Cosmetics International, American Express, and Deloitte. </w:t>
      </w:r>
    </w:p>
    <w:p>
      <w:pPr>
        <w:pStyle w:val="TextBody"/>
        <w:bidi w:val="0"/>
        <w:spacing w:before="240" w:after="0"/>
        <w:jc w:val="left"/>
        <w:rPr>
          <w:rFonts w:ascii="Arial" w:hAnsi="Arial"/>
          <w:color w:val="191919"/>
          <w:sz w:val="18"/>
        </w:rPr>
      </w:pPr>
      <w:r>
        <w:rPr>
          <w:rFonts w:ascii="Arial" w:hAnsi="Arial"/>
          <w:b/>
          <w:i/>
          <w:color w:val="191919"/>
          <w:sz w:val="18"/>
        </w:rPr>
        <w:t>Fang Wang</w:t>
      </w:r>
      <w:r>
        <w:rPr>
          <w:rFonts w:ascii="Arial" w:hAnsi="Arial"/>
          <w:color w:val="191919"/>
          <w:sz w:val="18"/>
        </w:rPr>
        <w:t xml:space="preserve"> has served as Vice President and Chief Accounting Officer since August 2025 and previously served as the Company’s Vice President and Corporate Controller from November 2020 and Assistant Corporate Controller from December 2018. From September 2016 to November 2018, Ms. Wang served as Director of Accounting and Reporting at Service King, a privately held collision-repair company. Prior to 2016, Ms. Wang spent 10 years with KPMG, a global accounting firm, where she held roles of increasing responsibility with a focus on publicly traded companies in the consumer and industrial products industry.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3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3" descr=""/>
                          <pic:cNvPicPr>
                            <a:picLocks noChangeAspect="1" noChangeArrowheads="1"/>
                          </pic:cNvPicPr>
                        </pic:nvPicPr>
                        <pic:blipFill>
                          <a:blip r:embed="rId22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18" w:name="toc36145_15"/>
      <w:bookmarkEnd w:id="18"/>
      <w:r>
        <w:rPr>
          <w:rFonts w:ascii="Arial" w:hAnsi="Arial"/>
          <w:b/>
          <w:color w:val="0A7DAC"/>
          <w:sz w:val="40"/>
        </w:rPr>
        <w:t xml:space="preserve">Proposal 2: </w:t>
      </w:r>
    </w:p>
    <w:p>
      <w:pPr>
        <w:pStyle w:val="TextBody"/>
        <w:bidi w:val="0"/>
        <w:spacing w:before="0" w:after="0"/>
        <w:jc w:val="left"/>
        <w:rPr>
          <w:rFonts w:ascii="Arial" w:hAnsi="Arial"/>
          <w:b/>
          <w:color w:val="0A7DAC"/>
          <w:sz w:val="40"/>
        </w:rPr>
      </w:pPr>
      <w:bookmarkStart w:id="19" w:name="txa136145_2"/>
      <w:bookmarkEnd w:id="19"/>
      <w:r>
        <w:rPr>
          <w:rFonts w:ascii="Arial" w:hAnsi="Arial"/>
          <w:b/>
          <w:color w:val="0A7DAC"/>
          <w:sz w:val="40"/>
        </w:rPr>
        <w:t xml:space="preserve">Advisory Vote on Executive Compensation </w:t>
      </w:r>
    </w:p>
    <w:p>
      <w:pPr>
        <w:pStyle w:val="TextBody"/>
        <w:bidi w:val="0"/>
        <w:spacing w:before="240" w:after="0"/>
        <w:jc w:val="left"/>
        <w:rPr>
          <w:rFonts w:ascii="Arial" w:hAnsi="Arial"/>
          <w:color w:val="191919"/>
          <w:sz w:val="18"/>
        </w:rPr>
      </w:pPr>
      <w:r>
        <w:rPr>
          <w:rFonts w:ascii="Arial" w:hAnsi="Arial"/>
          <w:color w:val="191919"/>
          <w:sz w:val="18"/>
        </w:rPr>
        <w:t xml:space="preserve">The Board is providing shareholders the opportunity to cast an advisory vote on the compensation of our Named Executive Officers pursuant to Section 14A of the Securities Exchange Act of 1934. This proposal, commonly known as a “Say on Pay” proposal, gives our shareholders the opportunity to endorse or not endorse our executive compensation programs and policies and the compensation paid to our Named Executive Officers. We currently hold annual “Say on Pay” votes, and our next “Say on Pay” vote will be submitted to shareholders at the 2027 annual meeting. </w:t>
      </w:r>
    </w:p>
    <w:p>
      <w:pPr>
        <w:pStyle w:val="TextBody"/>
        <w:bidi w:val="0"/>
        <w:spacing w:before="240" w:after="0"/>
        <w:jc w:val="left"/>
        <w:rPr>
          <w:rFonts w:ascii="Arial" w:hAnsi="Arial"/>
          <w:color w:val="191919"/>
          <w:sz w:val="18"/>
        </w:rPr>
      </w:pPr>
      <w:r>
        <w:rPr>
          <w:rFonts w:ascii="Arial" w:hAnsi="Arial"/>
          <w:color w:val="191919"/>
          <w:sz w:val="18"/>
        </w:rPr>
        <w:t xml:space="preserve">The Board values the opinions of the Company’s shareholders as expressed through their votes and other communications. This Say on Pay vote is advisory, meaning that it is not binding on the Compensation Committee or the Board. This vote will not affect any compensation already paid or awarded to any Named Executive Officer, nor will it change any decisions the Board has made. Nonetheless, the Compensation Committee and the Board will review and carefully consider the outcome of this advisory vote when making future decisions regarding our executive compensation programs and policies. </w:t>
      </w:r>
    </w:p>
    <w:p>
      <w:pPr>
        <w:pStyle w:val="TextBody"/>
        <w:bidi w:val="0"/>
        <w:spacing w:before="240" w:after="0"/>
        <w:jc w:val="left"/>
        <w:rPr>
          <w:rFonts w:ascii="Arial" w:hAnsi="Arial"/>
          <w:color w:val="191919"/>
          <w:sz w:val="18"/>
        </w:rPr>
      </w:pPr>
      <w:r>
        <w:rPr>
          <w:rFonts w:ascii="Arial" w:hAnsi="Arial"/>
          <w:color w:val="191919"/>
          <w:sz w:val="18"/>
        </w:rPr>
        <w:t xml:space="preserve">We design our executive compensation programs to implement our core objectives of aligning the long-term interests of our executives with those of our shareholders, rewarding current performance, driving future performance, and attracting and retaining key leaders. Shareholders are encouraged to read the Compensation Discussion and Analysis (“CD&amp;A”) section of this Proxy Statement, including the “Executive Summary.” In the CD&amp;A, we describe our compensation programs, including the underlying philosophy and strategy, the individual elements of compensation, and how our compensation plans are administered. We also describe how the Compensation Committee continues to evolve our executive compensation program based on shareholder feedback. </w:t>
      </w:r>
    </w:p>
    <w:p>
      <w:pPr>
        <w:pStyle w:val="TextBody"/>
        <w:bidi w:val="0"/>
        <w:spacing w:before="240" w:after="0"/>
        <w:jc w:val="left"/>
        <w:rPr>
          <w:rFonts w:ascii="Arial" w:hAnsi="Arial"/>
          <w:color w:val="191919"/>
          <w:sz w:val="18"/>
        </w:rPr>
      </w:pPr>
      <w:r>
        <w:rPr>
          <w:rFonts w:ascii="Arial" w:hAnsi="Arial"/>
          <w:color w:val="191919"/>
          <w:sz w:val="18"/>
        </w:rPr>
        <w:t xml:space="preserve">We believe shareholders should consider the following information when voting on this proposal: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3110230" cy="1664970"/>
                <wp:effectExtent l="0" t="0" r="0" b="0"/>
                <wp:wrapSquare wrapText="right"/>
                <wp:docPr id="232" name="Frame9"/>
                <a:graphic xmlns:a="http://schemas.openxmlformats.org/drawingml/2006/main">
                  <a:graphicData uri="http://schemas.microsoft.com/office/word/2010/wordprocessingShape">
                    <wps:wsp>
                      <wps:cNvSpPr txBox="1"/>
                      <wps:spPr>
                        <a:xfrm>
                          <a:off x="0" y="0"/>
                          <a:ext cx="3110230" cy="16649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Shareholder Responsiveness</w:t>
                                  </w:r>
                                  <w:r>
                                    <w:rPr>
                                      <w:rFonts w:ascii="Arial" w:hAnsi="Arial"/>
                                      <w:color w:val="191919"/>
                                      <w:sz w:val="18"/>
                                    </w:rPr>
                                    <w:t xml:space="preserve">. The Board and the Compensation Committee take the results of each Say on Pay vote seriously, and we regularly engage with shareholders to solicit feedback on our executive compensation program. The Board and the Compensation Committee take Say on Pay voting results into account and respond directly to shareholder feedback in establishing the Company’s compensation practices, as they did so again in fiscal 2025. For additional information, see “The 2025 Say on Pay Vote and Shareholder Engagement” within the CD&amp;A on page 34.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Annual Incentive Plan Performance.</w:t>
                                  </w:r>
                                  <w:r>
                                    <w:rPr>
                                      <w:rFonts w:ascii="Arial" w:hAnsi="Arial"/>
                                      <w:color w:val="191919"/>
                                      <w:sz w:val="18"/>
                                    </w:rPr>
                                    <w:t xml:space="preserve"> Concerning our Annual Incentive Plan, consolidated EBITDA performance as measured under our plan increased 13.5% over fiscal 2025 and resulted in a payout of 95% of target for that metric, and operating cash flow (“OCF”) performance as measured under our plan increased 22.5% over fiscal 2025 and resulted in a payout of 159% of target for that metric. Combined, this resulted in a weighted average financial performance metric payout of 107.8% of target for the consolidated CSW financial metrics.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1.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Shareholder Responsiveness</w:t>
                            </w:r>
                            <w:r>
                              <w:rPr>
                                <w:rFonts w:ascii="Arial" w:hAnsi="Arial"/>
                                <w:color w:val="191919"/>
                                <w:sz w:val="18"/>
                              </w:rPr>
                              <w:t xml:space="preserve">. The Board and the Compensation Committee take the results of each Say on Pay vote seriously, and we regularly engage with shareholders to solicit feedback on our executive compensation program. The Board and the Compensation Committee take Say on Pay voting results into account and respond directly to shareholder feedback in establishing the Company’s compensation practices, as they did so again in fiscal 2025. For additional information, see “The 2025 Say on Pay Vote and Shareholder Engagement” within the CD&amp;A on page 34.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Annual Incentive Plan Performance.</w:t>
                            </w:r>
                            <w:r>
                              <w:rPr>
                                <w:rFonts w:ascii="Arial" w:hAnsi="Arial"/>
                                <w:color w:val="191919"/>
                                <w:sz w:val="18"/>
                              </w:rPr>
                              <w:t xml:space="preserve"> Concerning our Annual Incentive Plan, consolidated EBITDA performance as measured under our plan increased 13.5% over fiscal 2025 and resulted in a payout of 95% of target for that metric, and operating cash flow (“OCF”) performance as measured under our plan increased 22.5% over fiscal 2025 and resulted in a payout of 159% of target for that metric. Combined, this resulted in a weighted average financial performance metric payout of 107.8% of target for the consolidated CSW financial metrics.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3175000" cy="2331085"/>
                <wp:effectExtent l="0" t="0" r="0" b="0"/>
                <wp:wrapSquare wrapText="right"/>
                <wp:docPr id="233" name="Frame10"/>
                <a:graphic xmlns:a="http://schemas.openxmlformats.org/drawingml/2006/main">
                  <a:graphicData uri="http://schemas.microsoft.com/office/word/2010/wordprocessingShape">
                    <wps:wsp>
                      <wps:cNvSpPr txBox="1"/>
                      <wps:spPr>
                        <a:xfrm>
                          <a:off x="0" y="0"/>
                          <a:ext cx="3175000" cy="23310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At Risk Pay. </w:t>
                                  </w:r>
                                  <w:r>
                                    <w:rPr>
                                      <w:rFonts w:ascii="Arial" w:hAnsi="Arial"/>
                                      <w:color w:val="191919"/>
                                      <w:sz w:val="18"/>
                                    </w:rPr>
                                    <w:t xml:space="preserve">On average, the Named Executive Officers had 70.2% (or 84.7% in the case of the CEO) of their target pay “at risk,” or dependent upon both Company and individual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Benchmarking. </w:t>
                                  </w:r>
                                  <w:r>
                                    <w:rPr>
                                      <w:rFonts w:ascii="Arial" w:hAnsi="Arial"/>
                                      <w:color w:val="191919"/>
                                      <w:sz w:val="18"/>
                                    </w:rPr>
                                    <w:t xml:space="preserve">Compensation program elements and Named Executive Officer compensation amounts are benchmarked against practices among the broader market and a thoughtfully selected group of peer industrial companies. Individual compensation levels are benchmarked using market median as a reference point.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Performance Matrix Maximums.</w:t>
                                  </w:r>
                                  <w:r>
                                    <w:rPr>
                                      <w:rFonts w:ascii="Arial" w:hAnsi="Arial"/>
                                      <w:color w:val="191919"/>
                                      <w:sz w:val="18"/>
                                    </w:rPr>
                                    <w:t xml:space="preserve"> Maximum payout levels for the annual cash incentive award are capped at 200% of target, with formulaic positive or negative adjustment for financial and individual performance, and the performance share award payouts are capped at 200% of target. These caps moderate total compensation amounts and reduce the incentive to engage in unnecessarily risky behavior.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Threshold Performance Requirements.</w:t>
                                  </w:r>
                                  <w:r>
                                    <w:rPr>
                                      <w:rFonts w:ascii="Arial" w:hAnsi="Arial"/>
                                      <w:color w:val="191919"/>
                                      <w:sz w:val="18"/>
                                    </w:rPr>
                                    <w:t xml:space="preserve"> The annual cash incentive award and the performance share award have threshold performance requirements, ensuring that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3.5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At Risk Pay. </w:t>
                            </w:r>
                            <w:r>
                              <w:rPr>
                                <w:rFonts w:ascii="Arial" w:hAnsi="Arial"/>
                                <w:color w:val="191919"/>
                                <w:sz w:val="18"/>
                              </w:rPr>
                              <w:t xml:space="preserve">On average, the Named Executive Officers had 70.2% (or 84.7% in the case of the CEO) of their target pay “at risk,” or dependent upon both Company and individual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Benchmarking. </w:t>
                            </w:r>
                            <w:r>
                              <w:rPr>
                                <w:rFonts w:ascii="Arial" w:hAnsi="Arial"/>
                                <w:color w:val="191919"/>
                                <w:sz w:val="18"/>
                              </w:rPr>
                              <w:t xml:space="preserve">Compensation program elements and Named Executive Officer compensation amounts are benchmarked against practices among the broader market and a thoughtfully selected group of peer industrial companies. Individual compensation levels are benchmarked using market median as a reference point.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Performance Matrix Maximums.</w:t>
                            </w:r>
                            <w:r>
                              <w:rPr>
                                <w:rFonts w:ascii="Arial" w:hAnsi="Arial"/>
                                <w:color w:val="191919"/>
                                <w:sz w:val="18"/>
                              </w:rPr>
                              <w:t xml:space="preserve"> Maximum payout levels for the annual cash incentive award are capped at 200% of target, with formulaic positive or negative adjustment for financial and individual performance, and the performance share award payouts are capped at 200% of target. These caps moderate total compensation amounts and reduce the incentive to engage in unnecessarily risky behavior.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Threshold Performance Requirements.</w:t>
                            </w:r>
                            <w:r>
                              <w:rPr>
                                <w:rFonts w:ascii="Arial" w:hAnsi="Arial"/>
                                <w:color w:val="191919"/>
                                <w:sz w:val="18"/>
                              </w:rPr>
                              <w:t xml:space="preserve"> The annual cash incentive award and the performance share award have threshold performance requirements, ensuring that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3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4" descr=""/>
                          <pic:cNvPicPr>
                            <a:picLocks noChangeAspect="1" noChangeArrowheads="1"/>
                          </pic:cNvPicPr>
                        </pic:nvPicPr>
                        <pic:blipFill>
                          <a:blip r:embed="rId225"/>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Proposal 2: Advisory Vote on Executive Compensation </w:t>
      </w:r>
    </w:p>
    <w:p>
      <w:pPr>
        <w:pStyle w:val="TextBody"/>
        <w:bidi w:val="0"/>
        <w:spacing w:before="0" w:after="0"/>
        <w:jc w:val="right"/>
        <w:rPr>
          <w:rFonts w:ascii="Arial" w:hAnsi="Arial"/>
          <w:sz w:val="16"/>
        </w:rPr>
      </w:pPr>
      <w:r>
        <w:rPr>
          <w:rFonts w:ascii="Arial" w:hAnsi="Arial"/>
          <w:sz w:val="16"/>
        </w:rPr>
        <w:t xml:space="preserve">Required Vote and Recommendation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3110230" cy="1235710"/>
                <wp:effectExtent l="0" t="0" r="0" b="0"/>
                <wp:wrapSquare wrapText="right"/>
                <wp:docPr id="235" name="Frame11"/>
                <a:graphic xmlns:a="http://schemas.openxmlformats.org/drawingml/2006/main">
                  <a:graphicData uri="http://schemas.microsoft.com/office/word/2010/wordprocessingShape">
                    <wps:wsp>
                      <wps:cNvSpPr txBox="1"/>
                      <wps:spPr>
                        <a:xfrm>
                          <a:off x="0" y="0"/>
                          <a:ext cx="3110230" cy="123571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191919"/>
                                    </w:rPr>
                                  </w:pPr>
                                  <w:r>
                                    <w:rPr>
                                      <w:color w:val="191919"/>
                                    </w:rPr>
                                    <w:t xml:space="preserve">incentive compensation is reduced or eliminated altogether if minimum performance levels are not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Ownership Guidelines.</w:t>
                                  </w:r>
                                  <w:r>
                                    <w:rPr>
                                      <w:rFonts w:ascii="Arial" w:hAnsi="Arial"/>
                                      <w:color w:val="191919"/>
                                      <w:sz w:val="18"/>
                                    </w:rPr>
                                    <w:t xml:space="preserve"> Our officers are subject to stock ownership guidelines, which further encourage a long-term focus on sustainable performance and align our officers’ interests with those of our shareholders.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7.3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color w:val="191919"/>
                              </w:rPr>
                            </w:pPr>
                            <w:r>
                              <w:rPr>
                                <w:color w:val="191919"/>
                              </w:rPr>
                              <w:t xml:space="preserve">incentive compensation is reduced or eliminated altogether if minimum performance levels are not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Ownership Guidelines.</w:t>
                            </w:r>
                            <w:r>
                              <w:rPr>
                                <w:rFonts w:ascii="Arial" w:hAnsi="Arial"/>
                                <w:color w:val="191919"/>
                                <w:sz w:val="18"/>
                              </w:rPr>
                              <w:t xml:space="preserve"> Our officers are subject to stock ownership guidelines, which further encourage a long-term focus on sustainable performance and align our officers’ interests with those of our shareholders.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3175000" cy="1060450"/>
                <wp:effectExtent l="0" t="0" r="0" b="0"/>
                <wp:wrapSquare wrapText="right"/>
                <wp:docPr id="236" name="Frame12"/>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No Hedging or Pledging. </w:t>
                                  </w:r>
                                  <w:r>
                                    <w:rPr>
                                      <w:rFonts w:ascii="Arial" w:hAnsi="Arial"/>
                                      <w:color w:val="191919"/>
                                      <w:sz w:val="18"/>
                                    </w:rPr>
                                    <w:t xml:space="preserve">Our officers are prohibited from pledging Company stock or engaging in transactions designed to hedge the value of the Company’s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No Perquisites. </w:t>
                                  </w:r>
                                  <w:r>
                                    <w:rPr>
                                      <w:rFonts w:ascii="Arial" w:hAnsi="Arial"/>
                                      <w:color w:val="191919"/>
                                      <w:sz w:val="18"/>
                                    </w:rPr>
                                    <w:t xml:space="preserve">The Company does not provide perquisites or special benefits to executive officers, other than those generally provided to all employees.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No Hedging or Pledging. </w:t>
                            </w:r>
                            <w:r>
                              <w:rPr>
                                <w:rFonts w:ascii="Arial" w:hAnsi="Arial"/>
                                <w:color w:val="191919"/>
                                <w:sz w:val="18"/>
                              </w:rPr>
                              <w:t xml:space="preserve">Our officers are prohibited from pledging Company stock or engaging in transactions designed to hedge the value of the Company’s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No Perquisites. </w:t>
                            </w:r>
                            <w:r>
                              <w:rPr>
                                <w:rFonts w:ascii="Arial" w:hAnsi="Arial"/>
                                <w:color w:val="191919"/>
                                <w:sz w:val="18"/>
                              </w:rPr>
                              <w:t xml:space="preserve">The Company does not provide perquisites or special benefits to executive officers, other than those generally provided to all employees.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The Board believes the Company’s executive compensation program uses appropriate structures and sound pay practices promoting our core objectives. Accordingly, the Board recommends that you vote in favor of the following resolution: </w:t>
      </w:r>
    </w:p>
    <w:p>
      <w:pPr>
        <w:pStyle w:val="TextBody"/>
        <w:bidi w:val="0"/>
        <w:spacing w:before="240" w:after="0"/>
        <w:jc w:val="left"/>
        <w:rPr>
          <w:color w:val="191919"/>
        </w:rPr>
      </w:pPr>
      <w:r>
        <w:rPr>
          <w:color w:val="191919"/>
        </w:rPr>
        <w:t>“</w:t>
      </w:r>
      <w:r>
        <w:rPr>
          <w:rFonts w:ascii="Arial" w:hAnsi="Arial"/>
          <w:i/>
          <w:color w:val="191919"/>
          <w:sz w:val="18"/>
        </w:rPr>
        <w:t xml:space="preserve">RESOLVED, that the CSW Industrials, Inc. shareholders approve, on an advisory basis, the compensation of the Company’s Named Executive Officers as described in the section of this Proxy Statement entitled ‘Executive Compensation.’” </w:t>
      </w:r>
    </w:p>
    <w:p>
      <w:pPr>
        <w:pStyle w:val="TextBody"/>
        <w:bidi w:val="0"/>
        <w:spacing w:before="360" w:after="0"/>
        <w:jc w:val="left"/>
        <w:rPr>
          <w:rFonts w:ascii="Arial" w:hAnsi="Arial"/>
          <w:b/>
          <w:color w:val="7DB655"/>
          <w:sz w:val="30"/>
        </w:rPr>
      </w:pPr>
      <w:bookmarkStart w:id="20" w:name="toc36145_16"/>
      <w:bookmarkEnd w:id="20"/>
      <w:r>
        <w:rPr>
          <w:rFonts w:ascii="Arial" w:hAnsi="Arial"/>
          <w:b/>
          <w:color w:val="7DB655"/>
          <w:sz w:val="30"/>
        </w:rPr>
        <w:t xml:space="preserve">Required Vote and Recommendation </w:t>
      </w:r>
    </w:p>
    <w:p>
      <w:pPr>
        <w:pStyle w:val="TextBody"/>
        <w:bidi w:val="0"/>
        <w:spacing w:before="240" w:after="0"/>
        <w:jc w:val="left"/>
        <w:rPr>
          <w:rFonts w:ascii="Arial" w:hAnsi="Arial"/>
          <w:color w:val="191919"/>
          <w:sz w:val="18"/>
        </w:rPr>
      </w:pPr>
      <w:r>
        <w:rPr>
          <w:rFonts w:ascii="Arial" w:hAnsi="Arial"/>
          <w:color w:val="191919"/>
          <w:sz w:val="18"/>
        </w:rPr>
        <w:t xml:space="preserve">Approval of this proposal requires the affirmative vote of a majority of the votes cast in person or represented by proxy. The individuals named as proxies on the enclosed proxy card will vote your proxy “FOR” this proposal unless you instruct otherwise or you withhold authority to vote. For more information, see “General Voting and Meeting Information—Voting—Counting of Votes.” </w:t>
      </w:r>
    </w:p>
    <w:p>
      <w:pPr>
        <w:pStyle w:val="TextBody"/>
        <w:bidi w:val="0"/>
        <w:spacing w:before="240" w:after="0"/>
        <w:jc w:val="left"/>
        <w:rPr>
          <w:rFonts w:ascii="Arial" w:hAnsi="Arial"/>
          <w:color w:val="191919"/>
          <w:sz w:val="18"/>
        </w:rPr>
      </w:pPr>
      <w:r>
        <w:rPr>
          <w:rFonts w:ascii="Arial" w:hAnsi="Arial"/>
          <w:color w:val="191919"/>
          <w:sz w:val="18"/>
        </w:rPr>
        <w:t xml:space="preserve">The advisory vote on executive compensation is non-binding, meaning that our Board will not be obligated to take any compensation actions, or to adjust our executive compensation programs or policies, as a result of the vote. However, our Compensation Committee considers the results of the vote in evaluating our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8"/>
        <w:gridCol w:w="120"/>
        <w:gridCol w:w="9577"/>
      </w:tblGrid>
      <w:tr>
        <w:trPr/>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77" w:type="dxa"/>
            <w:tcBorders/>
            <w:vAlign w:val="center"/>
          </w:tcPr>
          <w:p>
            <w:pPr>
              <w:pStyle w:val="TableContents"/>
              <w:bidi w:val="0"/>
              <w:spacing w:before="0" w:after="283"/>
              <w:jc w:val="left"/>
              <w:rPr>
                <w:sz w:val="4"/>
                <w:szCs w:val="4"/>
              </w:rPr>
            </w:pPr>
            <w:r>
              <w:rPr>
                <w:sz w:val="4"/>
                <w:szCs w:val="4"/>
              </w:rPr>
            </w:r>
          </w:p>
        </w:tc>
      </w:tr>
      <w:tr>
        <w:trPr/>
        <w:tc>
          <w:tcPr>
            <w:tcW w:w="508"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281940" cy="278765"/>
                  <wp:effectExtent l="0" t="0" r="0" b="0"/>
                  <wp:docPr id="237"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5" descr=""/>
                          <pic:cNvPicPr>
                            <a:picLocks noChangeAspect="1" noChangeArrowheads="1"/>
                          </pic:cNvPicPr>
                        </pic:nvPicPr>
                        <pic:blipFill>
                          <a:blip r:embed="rId226"/>
                          <a:stretch>
                            <a:fillRect/>
                          </a:stretch>
                        </pic:blipFill>
                        <pic:spPr bwMode="auto">
                          <a:xfrm>
                            <a:off x="0" y="0"/>
                            <a:ext cx="281940" cy="278765"/>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9577"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b/>
                <w:color w:val="8ABD66"/>
                <w:sz w:val="20"/>
              </w:rPr>
            </w:pPr>
            <w:r>
              <w:rPr>
                <w:rFonts w:ascii="Arial" w:hAnsi="Arial"/>
                <w:b/>
                <w:color w:val="8ABD66"/>
                <w:sz w:val="20"/>
              </w:rPr>
              <w:t xml:space="preserve">THE BOARD RECOMMENDS A VOTE </w:t>
            </w:r>
            <w:r>
              <w:rPr>
                <w:rFonts w:ascii="Arial" w:hAnsi="Arial"/>
                <w:b/>
                <w:color w:val="8ABD66"/>
                <w:sz w:val="20"/>
                <w:u w:val="single"/>
              </w:rPr>
              <w:t>FOR</w:t>
            </w:r>
            <w:r>
              <w:rPr>
                <w:rFonts w:ascii="Arial" w:hAnsi="Arial"/>
                <w:b/>
                <w:color w:val="8ABD66"/>
                <w:sz w:val="20"/>
              </w:rPr>
              <w:t xml:space="preserve"> THE APPROVAL OF THIS ADVISORY VOTE ON EXECUTIVE COMPENSATION.</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38"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6" descr=""/>
                          <pic:cNvPicPr>
                            <a:picLocks noChangeAspect="1" noChangeArrowheads="1"/>
                          </pic:cNvPicPr>
                        </pic:nvPicPr>
                        <pic:blipFill>
                          <a:blip r:embed="rId227"/>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21" w:name="toc36145_17"/>
      <w:bookmarkEnd w:id="21"/>
      <w:r>
        <w:rPr>
          <w:rFonts w:ascii="Arial" w:hAnsi="Arial"/>
          <w:b/>
          <w:color w:val="0A7DAC"/>
          <w:sz w:val="40"/>
        </w:rPr>
        <w:t xml:space="preserve">Executive Compensation </w:t>
      </w:r>
    </w:p>
    <w:p>
      <w:pPr>
        <w:pStyle w:val="TextBody"/>
        <w:bidi w:val="0"/>
        <w:spacing w:before="240" w:after="0"/>
        <w:jc w:val="left"/>
        <w:rPr>
          <w:rFonts w:ascii="Arial" w:hAnsi="Arial"/>
          <w:b/>
          <w:color w:val="7DB655"/>
          <w:sz w:val="30"/>
        </w:rPr>
      </w:pPr>
      <w:bookmarkStart w:id="22" w:name="toc36145_18a"/>
      <w:bookmarkEnd w:id="22"/>
      <w:r>
        <w:rPr>
          <w:rFonts w:ascii="Arial" w:hAnsi="Arial"/>
          <w:b/>
          <w:color w:val="7DB655"/>
          <w:sz w:val="30"/>
        </w:rPr>
        <w:t xml:space="preserve">Compensation &amp; Talent Development Committee Report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is currently comprised of four independent directors: J. Kent Sweezey (Chair), Darron K. Ash, Bobby Griffin, and Linda A. Livingstone.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has reviewed and discussed with management the following Compensation Discussion and Analysis. Based on this review and discussion, the Compensation Committee recommended to the Board that this Compensation Discussion and Analysis be included in this Proxy Statement and incorporated by reference in the Company’s Annual Report on Form 10-K filed with the SEC for the fiscal year ended March 31, 2026. </w:t>
      </w:r>
    </w:p>
    <w:p>
      <w:pPr>
        <w:pStyle w:val="TextBody"/>
        <w:bidi w:val="0"/>
        <w:spacing w:before="240" w:after="0"/>
        <w:jc w:val="right"/>
        <w:rPr>
          <w:rFonts w:ascii="Arial" w:hAnsi="Arial"/>
          <w:b/>
          <w:sz w:val="20"/>
        </w:rPr>
      </w:pPr>
      <w:r>
        <w:rPr>
          <w:rFonts w:ascii="Arial" w:hAnsi="Arial"/>
          <w:b/>
          <w:sz w:val="20"/>
        </w:rPr>
        <w:t xml:space="preserve">J. Kent Sweezey, Chair </w:t>
      </w:r>
    </w:p>
    <w:p>
      <w:pPr>
        <w:pStyle w:val="TextBody"/>
        <w:bidi w:val="0"/>
        <w:spacing w:before="0" w:after="0"/>
        <w:jc w:val="right"/>
        <w:rPr>
          <w:rFonts w:ascii="Arial" w:hAnsi="Arial"/>
          <w:b/>
          <w:sz w:val="20"/>
        </w:rPr>
      </w:pPr>
      <w:r>
        <w:rPr>
          <w:rFonts w:ascii="Arial" w:hAnsi="Arial"/>
          <w:b/>
          <w:sz w:val="20"/>
        </w:rPr>
        <w:t xml:space="preserve">Darron K. Ash </w:t>
      </w:r>
    </w:p>
    <w:p>
      <w:pPr>
        <w:pStyle w:val="TextBody"/>
        <w:bidi w:val="0"/>
        <w:spacing w:before="0" w:after="0"/>
        <w:jc w:val="right"/>
        <w:rPr>
          <w:rFonts w:ascii="Arial" w:hAnsi="Arial"/>
          <w:b/>
          <w:sz w:val="20"/>
        </w:rPr>
      </w:pPr>
      <w:r>
        <w:rPr>
          <w:rFonts w:ascii="Arial" w:hAnsi="Arial"/>
          <w:b/>
          <w:sz w:val="20"/>
        </w:rPr>
        <w:t xml:space="preserve">Bobby Griffin </w:t>
      </w:r>
    </w:p>
    <w:p>
      <w:pPr>
        <w:pStyle w:val="TextBody"/>
        <w:bidi w:val="0"/>
        <w:spacing w:before="0" w:after="0"/>
        <w:jc w:val="right"/>
        <w:rPr>
          <w:rFonts w:ascii="Arial" w:hAnsi="Arial"/>
          <w:b/>
          <w:sz w:val="20"/>
        </w:rPr>
      </w:pPr>
      <w:r>
        <w:rPr>
          <w:rFonts w:ascii="Arial" w:hAnsi="Arial"/>
          <w:b/>
          <w:sz w:val="20"/>
        </w:rPr>
        <w:t xml:space="preserve">Linda A. Livingstone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39"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7" descr=""/>
                          <pic:cNvPicPr>
                            <a:picLocks noChangeAspect="1" noChangeArrowheads="1"/>
                          </pic:cNvPicPr>
                        </pic:nvPicPr>
                        <pic:blipFill>
                          <a:blip r:embed="rId228"/>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23" w:name="toc36145_19"/>
      <w:bookmarkEnd w:id="23"/>
      <w:r>
        <w:rPr>
          <w:rFonts w:ascii="Arial" w:hAnsi="Arial"/>
          <w:b/>
          <w:color w:val="7DB655"/>
          <w:sz w:val="30"/>
        </w:rPr>
        <w:t xml:space="preserve">Compensation Discussion and Analysis </w:t>
      </w:r>
    </w:p>
    <w:p>
      <w:pPr>
        <w:pStyle w:val="TextBody"/>
        <w:bidi w:val="0"/>
        <w:spacing w:before="240" w:after="0"/>
        <w:jc w:val="left"/>
        <w:rPr>
          <w:rFonts w:ascii="Arial" w:hAnsi="Arial"/>
          <w:b/>
          <w:color w:val="191919"/>
          <w:sz w:val="26"/>
        </w:rPr>
      </w:pPr>
      <w:r>
        <w:rPr>
          <w:rFonts w:ascii="Arial" w:hAnsi="Arial"/>
          <w:b/>
          <w:color w:val="191919"/>
          <w:sz w:val="26"/>
        </w:rPr>
        <w:t xml:space="preserve">Table of Contents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5060"/>
        <w:gridCol w:w="120"/>
        <w:gridCol w:w="60"/>
        <w:gridCol w:w="260"/>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a">
              <w:r>
                <w:rPr>
                  <w:rStyle w:val="InternetLink"/>
                  <w:rFonts w:ascii="Arial" w:hAnsi="Arial"/>
                  <w:b/>
                  <w:sz w:val="18"/>
                </w:rPr>
                <w:t>Introduction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33</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2a">
              <w:r>
                <w:rPr>
                  <w:rStyle w:val="InternetLink"/>
                  <w:rFonts w:ascii="Arial" w:hAnsi="Arial"/>
                  <w:b/>
                  <w:sz w:val="18"/>
                </w:rPr>
                <w:t>The 2025 Say on Pay Vote and Shareholder Engagement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34</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3">
              <w:r>
                <w:rPr>
                  <w:rStyle w:val="InternetLink"/>
                  <w:rFonts w:ascii="Arial" w:hAnsi="Arial"/>
                  <w:b/>
                  <w:sz w:val="18"/>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34</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4">
              <w:r>
                <w:rPr>
                  <w:rStyle w:val="InternetLink"/>
                  <w:rFonts w:ascii="Arial" w:hAnsi="Arial"/>
                  <w:b/>
                  <w:sz w:val="18"/>
                </w:rPr>
                <w:t>The Compensation Decision Making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5">
              <w:r>
                <w:rPr>
                  <w:rStyle w:val="InternetLink"/>
                  <w:rFonts w:ascii="Arial" w:hAnsi="Arial"/>
                  <w:b/>
                  <w:sz w:val="18"/>
                </w:rPr>
                <w:t>Executive Compensation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43</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6">
              <w:r>
                <w:rPr>
                  <w:rStyle w:val="InternetLink"/>
                  <w:rFonts w:ascii="Arial" w:hAnsi="Arial"/>
                  <w:color w:val="7DB655"/>
                  <w:sz w:val="18"/>
                </w:rPr>
                <w:t>Principles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7DB655"/>
              </w:rPr>
            </w:pPr>
            <w:r>
              <w:rPr>
                <w:color w:val="7DB655"/>
              </w:rPr>
              <w:t> </w:t>
            </w:r>
          </w:p>
        </w:tc>
        <w:tc>
          <w:tcPr>
            <w:tcW w:w="260" w:type="dxa"/>
            <w:tcBorders/>
            <w:vAlign w:val="center"/>
          </w:tcPr>
          <w:p>
            <w:pPr>
              <w:pStyle w:val="TableContents"/>
              <w:bidi w:val="0"/>
              <w:spacing w:before="0" w:after="283"/>
              <w:jc w:val="right"/>
              <w:rPr>
                <w:color w:val="7DB655"/>
              </w:rPr>
            </w:pPr>
            <w:r>
              <w:rPr>
                <w:color w:val="7DB655"/>
              </w:rPr>
              <w:t>43</w:t>
            </w:r>
          </w:p>
        </w:tc>
        <w:tc>
          <w:tcPr>
            <w:tcW w:w="75" w:type="dxa"/>
            <w:tcBorders/>
            <w:vAlign w:val="center"/>
          </w:tcPr>
          <w:p>
            <w:pPr>
              <w:pStyle w:val="TableContents"/>
              <w:bidi w:val="0"/>
              <w:spacing w:before="0" w:after="283"/>
              <w:jc w:val="left"/>
              <w:rPr>
                <w:color w:val="7DB655"/>
              </w:rPr>
            </w:pPr>
            <w:r>
              <w:rPr>
                <w:color w:val="7DB655"/>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7">
              <w:r>
                <w:rPr>
                  <w:rStyle w:val="InternetLink"/>
                  <w:rFonts w:ascii="Arial" w:hAnsi="Arial"/>
                  <w:color w:val="7DB655"/>
                  <w:sz w:val="18"/>
                </w:rPr>
                <w:t>Base Salary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7DB655"/>
              </w:rPr>
            </w:pPr>
            <w:r>
              <w:rPr>
                <w:color w:val="7DB655"/>
              </w:rPr>
              <w:t> </w:t>
            </w:r>
          </w:p>
        </w:tc>
        <w:tc>
          <w:tcPr>
            <w:tcW w:w="260" w:type="dxa"/>
            <w:tcBorders/>
            <w:vAlign w:val="center"/>
          </w:tcPr>
          <w:p>
            <w:pPr>
              <w:pStyle w:val="TableContents"/>
              <w:bidi w:val="0"/>
              <w:spacing w:before="0" w:after="283"/>
              <w:jc w:val="right"/>
              <w:rPr>
                <w:color w:val="7DB655"/>
              </w:rPr>
            </w:pPr>
            <w:r>
              <w:rPr>
                <w:color w:val="7DB655"/>
              </w:rPr>
              <w:t>44</w:t>
            </w:r>
          </w:p>
        </w:tc>
        <w:tc>
          <w:tcPr>
            <w:tcW w:w="75" w:type="dxa"/>
            <w:tcBorders/>
            <w:vAlign w:val="center"/>
          </w:tcPr>
          <w:p>
            <w:pPr>
              <w:pStyle w:val="TableContents"/>
              <w:bidi w:val="0"/>
              <w:spacing w:before="0" w:after="283"/>
              <w:jc w:val="left"/>
              <w:rPr>
                <w:color w:val="7DB655"/>
              </w:rPr>
            </w:pPr>
            <w:r>
              <w:rPr>
                <w:color w:val="7DB655"/>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8a">
              <w:r>
                <w:rPr>
                  <w:rStyle w:val="InternetLink"/>
                  <w:rFonts w:ascii="Arial" w:hAnsi="Arial"/>
                  <w:color w:val="7DB655"/>
                  <w:sz w:val="18"/>
                </w:rPr>
                <w:t>Annual Incentive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7DB655"/>
              </w:rPr>
            </w:pPr>
            <w:r>
              <w:rPr>
                <w:color w:val="7DB655"/>
              </w:rPr>
              <w:t> </w:t>
            </w:r>
          </w:p>
        </w:tc>
        <w:tc>
          <w:tcPr>
            <w:tcW w:w="260" w:type="dxa"/>
            <w:tcBorders/>
            <w:vAlign w:val="center"/>
          </w:tcPr>
          <w:p>
            <w:pPr>
              <w:pStyle w:val="TableContents"/>
              <w:bidi w:val="0"/>
              <w:spacing w:before="0" w:after="283"/>
              <w:jc w:val="right"/>
              <w:rPr>
                <w:color w:val="7DB655"/>
              </w:rPr>
            </w:pPr>
            <w:r>
              <w:rPr>
                <w:color w:val="7DB655"/>
              </w:rPr>
              <w:t>45</w:t>
            </w:r>
          </w:p>
        </w:tc>
        <w:tc>
          <w:tcPr>
            <w:tcW w:w="75" w:type="dxa"/>
            <w:tcBorders/>
            <w:vAlign w:val="center"/>
          </w:tcPr>
          <w:p>
            <w:pPr>
              <w:pStyle w:val="TableContents"/>
              <w:bidi w:val="0"/>
              <w:spacing w:before="0" w:after="283"/>
              <w:jc w:val="left"/>
              <w:rPr>
                <w:color w:val="7DB655"/>
              </w:rPr>
            </w:pPr>
            <w:r>
              <w:rPr>
                <w:color w:val="7DB655"/>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9">
              <w:r>
                <w:rPr>
                  <w:rStyle w:val="InternetLink"/>
                  <w:rFonts w:ascii="Arial" w:hAnsi="Arial"/>
                  <w:color w:val="7DB655"/>
                  <w:sz w:val="18"/>
                </w:rPr>
                <w:t>Long-Term Equity Incentives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7DB655"/>
              </w:rPr>
            </w:pPr>
            <w:r>
              <w:rPr>
                <w:color w:val="7DB655"/>
              </w:rPr>
              <w:t> </w:t>
            </w:r>
          </w:p>
        </w:tc>
        <w:tc>
          <w:tcPr>
            <w:tcW w:w="260" w:type="dxa"/>
            <w:tcBorders/>
            <w:vAlign w:val="center"/>
          </w:tcPr>
          <w:p>
            <w:pPr>
              <w:pStyle w:val="TableContents"/>
              <w:bidi w:val="0"/>
              <w:spacing w:before="0" w:after="283"/>
              <w:jc w:val="right"/>
              <w:rPr>
                <w:color w:val="7DB655"/>
              </w:rPr>
            </w:pPr>
            <w:r>
              <w:rPr>
                <w:color w:val="7DB655"/>
              </w:rPr>
              <w:t>51</w:t>
            </w:r>
          </w:p>
        </w:tc>
        <w:tc>
          <w:tcPr>
            <w:tcW w:w="75" w:type="dxa"/>
            <w:tcBorders/>
            <w:vAlign w:val="center"/>
          </w:tcPr>
          <w:p>
            <w:pPr>
              <w:pStyle w:val="TableContents"/>
              <w:bidi w:val="0"/>
              <w:spacing w:before="0" w:after="283"/>
              <w:jc w:val="left"/>
              <w:rPr>
                <w:color w:val="7DB655"/>
              </w:rPr>
            </w:pPr>
            <w:r>
              <w:rPr>
                <w:color w:val="7DB655"/>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0">
              <w:r>
                <w:rPr>
                  <w:rStyle w:val="InternetLink"/>
                  <w:rFonts w:ascii="Arial" w:hAnsi="Arial"/>
                  <w:b/>
                  <w:sz w:val="18"/>
                </w:rPr>
                <w:t>Additional Executive Compensation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55</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1">
              <w:r>
                <w:rPr>
                  <w:rStyle w:val="InternetLink"/>
                  <w:rFonts w:ascii="Arial" w:hAnsi="Arial"/>
                  <w:b/>
                  <w:sz w:val="18"/>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2">
              <w:r>
                <w:rPr>
                  <w:rStyle w:val="InternetLink"/>
                  <w:rFonts w:ascii="Arial" w:hAnsi="Arial"/>
                  <w:b/>
                  <w:sz w:val="18"/>
                </w:rPr>
                <w:t>2026 Grants of Plan-Based Awards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60</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3a">
              <w:r>
                <w:rPr>
                  <w:rStyle w:val="InternetLink"/>
                  <w:rFonts w:ascii="Arial" w:hAnsi="Arial"/>
                  <w:b/>
                  <w:sz w:val="18"/>
                </w:rPr>
                <w:t>Outstanding Equity Awards at Year-End 2026</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61</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4">
              <w:r>
                <w:rPr>
                  <w:rStyle w:val="InternetLink"/>
                  <w:rFonts w:ascii="Arial" w:hAnsi="Arial"/>
                  <w:b/>
                  <w:sz w:val="18"/>
                </w:rPr>
                <w:t>2026 Option Exercises and Stock Vested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62</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5">
              <w:r>
                <w:rPr>
                  <w:rStyle w:val="InternetLink"/>
                  <w:rFonts w:ascii="Arial" w:hAnsi="Arial"/>
                  <w:b/>
                  <w:sz w:val="18"/>
                </w:rPr>
                <w:t>2026 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62</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6">
              <w:r>
                <w:rPr>
                  <w:rStyle w:val="InternetLink"/>
                  <w:rFonts w:ascii="Arial" w:hAnsi="Arial"/>
                  <w:b/>
                  <w:sz w:val="18"/>
                </w:rPr>
                <w:t>Potential Payments upon Termination or Change-In-Control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63</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xa136145_17">
              <w:r>
                <w:rPr>
                  <w:rStyle w:val="InternetLink"/>
                  <w:rFonts w:ascii="Arial" w:hAnsi="Arial"/>
                  <w:b/>
                  <w:sz w:val="18"/>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66</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0"/>
              <w:jc w:val="left"/>
              <w:rPr/>
            </w:pPr>
            <w:hyperlink w:anchor="toc36145_27a">
              <w:r>
                <w:rPr>
                  <w:rStyle w:val="InternetLink"/>
                  <w:rFonts w:ascii="Arial" w:hAnsi="Arial"/>
                  <w:b/>
                  <w:sz w:val="18"/>
                </w:rPr>
                <w:t>Pay Versus Performance Disclosure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67</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color w:val="191919"/>
          <w:sz w:val="26"/>
        </w:rPr>
      </w:pPr>
      <w:bookmarkStart w:id="24" w:name="txa136145_1a"/>
      <w:bookmarkEnd w:id="24"/>
      <w:r>
        <w:rPr>
          <w:rFonts w:ascii="Arial" w:hAnsi="Arial"/>
          <w:b/>
          <w:color w:val="191919"/>
          <w:sz w:val="26"/>
        </w:rPr>
        <w:t xml:space="preserve">Introduction </w:t>
      </w:r>
    </w:p>
    <w:p>
      <w:pPr>
        <w:pStyle w:val="TextBody"/>
        <w:bidi w:val="0"/>
        <w:spacing w:before="240" w:after="0"/>
        <w:jc w:val="left"/>
        <w:rPr>
          <w:rFonts w:ascii="Arial" w:hAnsi="Arial"/>
          <w:color w:val="191919"/>
          <w:sz w:val="18"/>
        </w:rPr>
      </w:pPr>
      <w:r>
        <w:rPr>
          <w:rFonts w:ascii="Arial" w:hAnsi="Arial"/>
          <w:color w:val="191919"/>
          <w:sz w:val="18"/>
        </w:rPr>
        <w:t xml:space="preserve">This Compensation Discussion and Analysis (“CD&amp;A”) contains an overview and analysis of our executive compensation program and policies and the material compensation decisions our Compensation &amp; Talent Development Committee (“Compensation Committee”) has made for the executive officers named in the “Summary Compensation Table” on page 59. We refer to this group of executive officers collectively as our Named Executive Officers (“NEOs”). For fiscal 2026, our NEOs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7"/>
        <w:gridCol w:w="120"/>
        <w:gridCol w:w="8138"/>
      </w:tblGrid>
      <w:tr>
        <w:trPr/>
        <w:tc>
          <w:tcPr>
            <w:tcW w:w="19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38" w:type="dxa"/>
            <w:tcBorders/>
            <w:vAlign w:val="center"/>
          </w:tcPr>
          <w:p>
            <w:pPr>
              <w:pStyle w:val="TableContents"/>
              <w:bidi w:val="0"/>
              <w:spacing w:before="0" w:after="283"/>
              <w:jc w:val="left"/>
              <w:rPr>
                <w:sz w:val="4"/>
                <w:szCs w:val="4"/>
              </w:rPr>
            </w:pPr>
            <w:r>
              <w:rPr>
                <w:sz w:val="4"/>
                <w:szCs w:val="4"/>
              </w:rPr>
            </w:r>
          </w:p>
        </w:tc>
      </w:tr>
      <w:tr>
        <w:trPr/>
        <w:tc>
          <w:tcPr>
            <w:tcW w:w="1947" w:type="dxa"/>
            <w:tcBorders>
              <w:top w:val="single" w:sz="56" w:space="0" w:color="7DB655"/>
            </w:tcBorders>
            <w:tcMar>
              <w:top w:w="28" w:type="dxa"/>
            </w:tcMar>
            <w:vAlign w:val="center"/>
          </w:tcPr>
          <w:p>
            <w:pPr>
              <w:pStyle w:val="TableContents"/>
              <w:bidi w:val="0"/>
              <w:spacing w:before="0" w:after="283"/>
              <w:jc w:val="left"/>
              <w:rPr/>
            </w:pPr>
            <w:r>
              <w:rPr/>
              <w:t> </w:t>
            </w:r>
          </w:p>
        </w:tc>
        <w:tc>
          <w:tcPr>
            <w:tcW w:w="8258" w:type="dxa"/>
            <w:gridSpan w:val="2"/>
            <w:tcBorders>
              <w:top w:val="single" w:sz="56" w:space="0" w:color="7DB655"/>
            </w:tcBorders>
            <w:tcMar>
              <w:top w:w="28" w:type="dxa"/>
            </w:tcM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0"/>
              <w:jc w:val="left"/>
              <w:rPr>
                <w:rFonts w:ascii="Arial" w:hAnsi="Arial"/>
                <w:b/>
                <w:sz w:val="18"/>
              </w:rPr>
            </w:pPr>
            <w:r>
              <w:rPr>
                <w:rFonts w:ascii="Arial" w:hAnsi="Arial"/>
                <w:b/>
                <w:sz w:val="18"/>
              </w:rPr>
              <w:t>Joseph B. Armes</w:t>
            </w:r>
          </w:p>
        </w:tc>
        <w:tc>
          <w:tcPr>
            <w:tcW w:w="120" w:type="dxa"/>
            <w:tcBorders/>
            <w:vAlign w:val="center"/>
          </w:tcPr>
          <w:p>
            <w:pPr>
              <w:pStyle w:val="TableContents"/>
              <w:bidi w:val="0"/>
              <w:spacing w:before="0" w:after="283"/>
              <w:jc w:val="left"/>
              <w:rPr/>
            </w:pPr>
            <w:r>
              <w:rPr/>
              <w:t>  </w:t>
            </w:r>
          </w:p>
        </w:tc>
        <w:tc>
          <w:tcPr>
            <w:tcW w:w="8138" w:type="dxa"/>
            <w:tcBorders/>
            <w:vAlign w:val="center"/>
          </w:tcPr>
          <w:p>
            <w:pPr>
              <w:pStyle w:val="TableContents"/>
              <w:bidi w:val="0"/>
              <w:spacing w:before="0" w:after="283"/>
              <w:jc w:val="left"/>
              <w:rPr/>
            </w:pPr>
            <w:r>
              <w:rPr/>
              <w:t>Chairman, Chief Executive Officer (“CEO”) and President (principal executive officer)</w:t>
            </w:r>
          </w:p>
        </w:tc>
      </w:tr>
      <w:tr>
        <w:trPr/>
        <w:tc>
          <w:tcPr>
            <w:tcW w:w="1947" w:type="dxa"/>
            <w:tcBorders/>
            <w:shd w:fill="EDEDED" w:val="clear"/>
            <w:vAlign w:val="center"/>
          </w:tcPr>
          <w:p>
            <w:pPr>
              <w:pStyle w:val="TableContents"/>
              <w:bidi w:val="0"/>
              <w:spacing w:before="0" w:after="283"/>
              <w:jc w:val="left"/>
              <w:rPr>
                <w:sz w:val="4"/>
                <w:szCs w:val="4"/>
              </w:rPr>
            </w:pPr>
            <w:r>
              <w:rPr>
                <w:sz w:val="4"/>
                <w:szCs w:val="4"/>
              </w:rPr>
            </w:r>
          </w:p>
        </w:tc>
        <w:tc>
          <w:tcPr>
            <w:tcW w:w="825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947"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James E. Perry</w:t>
            </w:r>
          </w:p>
        </w:tc>
        <w:tc>
          <w:tcPr>
            <w:tcW w:w="120" w:type="dxa"/>
            <w:tcBorders/>
            <w:shd w:fill="EDEDED" w:val="clear"/>
            <w:vAlign w:val="center"/>
          </w:tcPr>
          <w:p>
            <w:pPr>
              <w:pStyle w:val="TableContents"/>
              <w:bidi w:val="0"/>
              <w:spacing w:before="0" w:after="283"/>
              <w:jc w:val="left"/>
              <w:rPr/>
            </w:pPr>
            <w:r>
              <w:rPr/>
              <w:t>  </w:t>
            </w:r>
          </w:p>
        </w:tc>
        <w:tc>
          <w:tcPr>
            <w:tcW w:w="8138" w:type="dxa"/>
            <w:tcBorders/>
            <w:shd w:fill="EDEDED" w:val="clear"/>
            <w:vAlign w:val="center"/>
          </w:tcPr>
          <w:p>
            <w:pPr>
              <w:pStyle w:val="TableContents"/>
              <w:bidi w:val="0"/>
              <w:spacing w:before="0" w:after="283"/>
              <w:jc w:val="left"/>
              <w:rPr/>
            </w:pPr>
            <w:r>
              <w:rPr/>
              <w:t>Executive Vice President and Chief Financial Officer (“CFO”) (principal financial officer)</w:t>
            </w:r>
          </w:p>
        </w:tc>
      </w:tr>
      <w:tr>
        <w:trPr/>
        <w:tc>
          <w:tcPr>
            <w:tcW w:w="1947" w:type="dxa"/>
            <w:tcBorders/>
            <w:vAlign w:val="center"/>
          </w:tcPr>
          <w:p>
            <w:pPr>
              <w:pStyle w:val="TableContents"/>
              <w:bidi w:val="0"/>
              <w:spacing w:before="0" w:after="283"/>
              <w:jc w:val="left"/>
              <w:rPr>
                <w:sz w:val="4"/>
                <w:szCs w:val="4"/>
              </w:rPr>
            </w:pPr>
            <w:r>
              <w:rPr>
                <w:sz w:val="4"/>
                <w:szCs w:val="4"/>
              </w:rPr>
            </w:r>
          </w:p>
        </w:tc>
        <w:tc>
          <w:tcPr>
            <w:tcW w:w="8258" w:type="dxa"/>
            <w:gridSpan w:val="2"/>
            <w:tcBorders/>
            <w:vAlign w:val="center"/>
          </w:tcPr>
          <w:p>
            <w:pPr>
              <w:pStyle w:val="TableContents"/>
              <w:bidi w:val="0"/>
              <w:spacing w:before="0" w:after="283"/>
              <w:jc w:val="left"/>
              <w:rPr>
                <w:sz w:val="4"/>
                <w:szCs w:val="4"/>
              </w:rPr>
            </w:pPr>
            <w:r>
              <w:rPr>
                <w:sz w:val="4"/>
                <w:szCs w:val="4"/>
              </w:rPr>
            </w:r>
          </w:p>
        </w:tc>
      </w:tr>
      <w:tr>
        <w:trPr/>
        <w:tc>
          <w:tcPr>
            <w:tcW w:w="1947" w:type="dxa"/>
            <w:tcBorders/>
            <w:vAlign w:val="center"/>
          </w:tcPr>
          <w:p>
            <w:pPr>
              <w:pStyle w:val="TableContents"/>
              <w:bidi w:val="0"/>
              <w:spacing w:before="0" w:after="0"/>
              <w:jc w:val="left"/>
              <w:rPr>
                <w:rFonts w:ascii="Arial" w:hAnsi="Arial"/>
                <w:b/>
                <w:sz w:val="18"/>
              </w:rPr>
            </w:pPr>
            <w:r>
              <w:rPr>
                <w:rFonts w:ascii="Arial" w:hAnsi="Arial"/>
                <w:b/>
                <w:sz w:val="18"/>
              </w:rPr>
              <w:t>Jeff A. Underwood</w:t>
            </w:r>
          </w:p>
        </w:tc>
        <w:tc>
          <w:tcPr>
            <w:tcW w:w="120" w:type="dxa"/>
            <w:tcBorders/>
            <w:vAlign w:val="center"/>
          </w:tcPr>
          <w:p>
            <w:pPr>
              <w:pStyle w:val="TableContents"/>
              <w:bidi w:val="0"/>
              <w:spacing w:before="0" w:after="283"/>
              <w:jc w:val="left"/>
              <w:rPr/>
            </w:pPr>
            <w:r>
              <w:rPr/>
              <w:t>  </w:t>
            </w:r>
          </w:p>
        </w:tc>
        <w:tc>
          <w:tcPr>
            <w:tcW w:w="8138" w:type="dxa"/>
            <w:tcBorders/>
            <w:vAlign w:val="center"/>
          </w:tcPr>
          <w:p>
            <w:pPr>
              <w:pStyle w:val="TableContents"/>
              <w:bidi w:val="0"/>
              <w:spacing w:before="0" w:after="283"/>
              <w:jc w:val="left"/>
              <w:rPr/>
            </w:pPr>
            <w:r>
              <w:rPr/>
              <w:t>Executive Vice President &amp; General Manager, Contractor Solutions</w:t>
            </w:r>
          </w:p>
        </w:tc>
      </w:tr>
      <w:tr>
        <w:trPr/>
        <w:tc>
          <w:tcPr>
            <w:tcW w:w="1947" w:type="dxa"/>
            <w:tcBorders/>
            <w:shd w:fill="EDEDED" w:val="clear"/>
            <w:vAlign w:val="center"/>
          </w:tcPr>
          <w:p>
            <w:pPr>
              <w:pStyle w:val="TableContents"/>
              <w:bidi w:val="0"/>
              <w:spacing w:before="0" w:after="283"/>
              <w:jc w:val="left"/>
              <w:rPr>
                <w:sz w:val="4"/>
                <w:szCs w:val="4"/>
              </w:rPr>
            </w:pPr>
            <w:r>
              <w:rPr>
                <w:sz w:val="4"/>
                <w:szCs w:val="4"/>
              </w:rPr>
            </w:r>
          </w:p>
        </w:tc>
        <w:tc>
          <w:tcPr>
            <w:tcW w:w="8258"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947"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Luke E. Alverson</w:t>
            </w:r>
          </w:p>
        </w:tc>
        <w:tc>
          <w:tcPr>
            <w:tcW w:w="120" w:type="dxa"/>
            <w:tcBorders/>
            <w:shd w:fill="EDEDED" w:val="clear"/>
            <w:vAlign w:val="center"/>
          </w:tcPr>
          <w:p>
            <w:pPr>
              <w:pStyle w:val="TableContents"/>
              <w:bidi w:val="0"/>
              <w:spacing w:before="0" w:after="283"/>
              <w:jc w:val="left"/>
              <w:rPr/>
            </w:pPr>
            <w:r>
              <w:rPr/>
              <w:t>  </w:t>
            </w:r>
          </w:p>
        </w:tc>
        <w:tc>
          <w:tcPr>
            <w:tcW w:w="8138" w:type="dxa"/>
            <w:tcBorders/>
            <w:shd w:fill="EDEDED" w:val="clear"/>
            <w:vAlign w:val="center"/>
          </w:tcPr>
          <w:p>
            <w:pPr>
              <w:pStyle w:val="TableContents"/>
              <w:bidi w:val="0"/>
              <w:spacing w:before="0" w:after="283"/>
              <w:jc w:val="left"/>
              <w:rPr/>
            </w:pPr>
            <w:r>
              <w:rPr/>
              <w:t>Senior Vice President, General Counsel &amp; Secretary</w:t>
            </w:r>
          </w:p>
        </w:tc>
      </w:tr>
      <w:tr>
        <w:trPr/>
        <w:tc>
          <w:tcPr>
            <w:tcW w:w="1947" w:type="dxa"/>
            <w:tcBorders/>
            <w:vAlign w:val="center"/>
          </w:tcPr>
          <w:p>
            <w:pPr>
              <w:pStyle w:val="TableContents"/>
              <w:bidi w:val="0"/>
              <w:spacing w:before="0" w:after="283"/>
              <w:jc w:val="left"/>
              <w:rPr>
                <w:sz w:val="4"/>
                <w:szCs w:val="4"/>
              </w:rPr>
            </w:pPr>
            <w:r>
              <w:rPr>
                <w:sz w:val="4"/>
                <w:szCs w:val="4"/>
              </w:rPr>
            </w:r>
          </w:p>
        </w:tc>
        <w:tc>
          <w:tcPr>
            <w:tcW w:w="8258" w:type="dxa"/>
            <w:gridSpan w:val="2"/>
            <w:tcBorders/>
            <w:vAlign w:val="center"/>
          </w:tcPr>
          <w:p>
            <w:pPr>
              <w:pStyle w:val="TableContents"/>
              <w:bidi w:val="0"/>
              <w:spacing w:before="0" w:after="283"/>
              <w:jc w:val="left"/>
              <w:rPr>
                <w:sz w:val="4"/>
                <w:szCs w:val="4"/>
              </w:rPr>
            </w:pPr>
            <w:r>
              <w:rPr>
                <w:sz w:val="4"/>
                <w:szCs w:val="4"/>
              </w:rPr>
            </w:r>
          </w:p>
        </w:tc>
      </w:tr>
      <w:tr>
        <w:trPr/>
        <w:tc>
          <w:tcPr>
            <w:tcW w:w="1947" w:type="dxa"/>
            <w:tcBorders>
              <w:bottom w:val="single" w:sz="6" w:space="0" w:color="7DB655"/>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Danielle R. Garde   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8138" w:type="dxa"/>
            <w:tcBorders>
              <w:bottom w:val="single" w:sz="6" w:space="0" w:color="7DB655"/>
            </w:tcBorders>
            <w:tcMar>
              <w:bottom w:w="60" w:type="dxa"/>
            </w:tcMar>
            <w:vAlign w:val="center"/>
          </w:tcPr>
          <w:p>
            <w:pPr>
              <w:pStyle w:val="TableContents"/>
              <w:bidi w:val="0"/>
              <w:spacing w:before="0" w:after="283"/>
              <w:jc w:val="left"/>
              <w:rPr/>
            </w:pPr>
            <w:r>
              <w:rPr/>
              <w:t>Senior Vice President &amp; Chief People Officer</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40"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8" descr=""/>
                          <pic:cNvPicPr>
                            <a:picLocks noChangeAspect="1" noChangeArrowheads="1"/>
                          </pic:cNvPicPr>
                        </pic:nvPicPr>
                        <pic:blipFill>
                          <a:blip r:embed="rId22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bookmarkStart w:id="25" w:name="txa136145_2a"/>
      <w:bookmarkEnd w:id="25"/>
      <w:r>
        <w:rPr>
          <w:rFonts w:ascii="Arial" w:hAnsi="Arial"/>
          <w:b/>
          <w:color w:val="191919"/>
          <w:sz w:val="26"/>
        </w:rPr>
        <w:t xml:space="preserve">The 2025 Say on Pay Vote and Shareholder Engagement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70"/>
        <w:gridCol w:w="60"/>
        <w:gridCol w:w="1475"/>
      </w:tblGrid>
      <w:tr>
        <w:trPr/>
        <w:tc>
          <w:tcPr>
            <w:tcW w:w="8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86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The Company has a demonstrated track record of seeking and considering shareholder feedback in designing and implementing our executive compensation program, and our current program is a product of that interactive process. The Compensation Committee, along with the entire Board, takes the outcome of every Say on Pay vote seriously. The 2025 Say on Pay vote was no exception, where we received 96.3% support for our annual Say on Pay proposal.</w:t>
            </w:r>
          </w:p>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While the Say on Pay vote is non-binding, the Compensation Committee believes this high level of approval indicated that our shareholders strongly support our executive compensation program and policies and the material compensation decisions made for executive officers. As it always does, the Compensation Committee will consider the results of this year’s Say on Pay vote, as well as continuing feedback from our shareholders, when evaluating future executive compensation decisions.</w:t>
            </w:r>
          </w:p>
        </w:tc>
        <w:tc>
          <w:tcPr>
            <w:tcW w:w="60" w:type="dxa"/>
            <w:tcBorders/>
            <w:shd w:fill="EDEDED" w:val="clear"/>
            <w:vAlign w:val="center"/>
          </w:tcPr>
          <w:p>
            <w:pPr>
              <w:pStyle w:val="TableContents"/>
              <w:bidi w:val="0"/>
              <w:spacing w:before="0" w:after="283"/>
              <w:jc w:val="left"/>
              <w:rPr/>
            </w:pPr>
            <w:r>
              <w:rPr/>
              <w:t> </w:t>
            </w:r>
          </w:p>
        </w:tc>
        <w:tc>
          <w:tcPr>
            <w:tcW w:w="1475" w:type="dxa"/>
            <w:tcBorders/>
            <w:shd w:fill="EDEDED" w:val="clear"/>
            <w:vAlign w:val="center"/>
          </w:tcPr>
          <w:p>
            <w:pPr>
              <w:pStyle w:val="TableContents"/>
              <w:bidi w:val="0"/>
              <w:spacing w:before="0" w:after="0"/>
              <w:jc w:val="center"/>
              <w:rPr>
                <w:rFonts w:ascii="Arial" w:hAnsi="Arial"/>
                <w:b/>
                <w:color w:val="7DB655"/>
                <w:sz w:val="48"/>
              </w:rPr>
            </w:pPr>
            <w:r>
              <w:rPr>
                <w:rFonts w:ascii="Arial" w:hAnsi="Arial"/>
                <w:b/>
                <w:color w:val="7DB655"/>
                <w:sz w:val="48"/>
              </w:rPr>
              <w:t>96.3%</w:t>
            </w:r>
          </w:p>
          <w:p>
            <w:pPr>
              <w:pStyle w:val="TableContents"/>
              <w:bidi w:val="0"/>
              <w:spacing w:before="0" w:after="0"/>
              <w:jc w:val="center"/>
              <w:rPr>
                <w:rFonts w:ascii="Arial" w:hAnsi="Arial"/>
                <w:b/>
                <w:color w:val="7DB655"/>
                <w:sz w:val="27"/>
              </w:rPr>
            </w:pPr>
            <w:r>
              <w:rPr>
                <w:rFonts w:ascii="Arial" w:hAnsi="Arial"/>
                <w:b/>
                <w:color w:val="7DB655"/>
                <w:sz w:val="27"/>
              </w:rPr>
              <w:t>Say on Pay</w:t>
            </w:r>
          </w:p>
          <w:p>
            <w:pPr>
              <w:pStyle w:val="TableContents"/>
              <w:bidi w:val="0"/>
              <w:spacing w:before="0" w:after="0"/>
              <w:jc w:val="center"/>
              <w:rPr>
                <w:rFonts w:ascii="Arial" w:hAnsi="Arial"/>
                <w:b/>
                <w:color w:val="7DB655"/>
                <w:sz w:val="27"/>
              </w:rPr>
            </w:pPr>
            <w:r>
              <w:rPr>
                <w:rFonts w:ascii="Arial" w:hAnsi="Arial"/>
                <w:b/>
                <w:color w:val="7DB655"/>
                <w:sz w:val="27"/>
              </w:rPr>
              <w:t>approval</w:t>
            </w:r>
          </w:p>
          <w:p>
            <w:pPr>
              <w:pStyle w:val="TableContents"/>
              <w:bidi w:val="0"/>
              <w:spacing w:before="0" w:after="20"/>
              <w:jc w:val="center"/>
              <w:rPr>
                <w:rFonts w:ascii="Arial" w:hAnsi="Arial"/>
                <w:b/>
                <w:color w:val="7DB655"/>
                <w:sz w:val="27"/>
              </w:rPr>
            </w:pPr>
            <w:r>
              <w:rPr>
                <w:rFonts w:ascii="Arial" w:hAnsi="Arial"/>
                <w:b/>
                <w:color w:val="7DB655"/>
                <w:sz w:val="27"/>
              </w:rPr>
              <w:t>in 2025</w:t>
            </w:r>
          </w:p>
        </w:tc>
      </w:tr>
    </w:tbl>
    <w:p>
      <w:pPr>
        <w:pStyle w:val="TextBody"/>
        <w:bidi w:val="0"/>
        <w:spacing w:before="360" w:after="0"/>
        <w:jc w:val="left"/>
        <w:rPr>
          <w:rFonts w:ascii="Arial" w:hAnsi="Arial"/>
          <w:b/>
          <w:color w:val="191919"/>
          <w:sz w:val="26"/>
        </w:rPr>
      </w:pPr>
      <w:bookmarkStart w:id="26" w:name="txa136145_3"/>
      <w:bookmarkEnd w:id="26"/>
      <w:r>
        <w:rPr>
          <w:rFonts w:ascii="Arial" w:hAnsi="Arial"/>
          <w:b/>
          <w:color w:val="191919"/>
          <w:sz w:val="26"/>
        </w:rPr>
        <w:t xml:space="preserve">Executive Summary </w:t>
      </w:r>
    </w:p>
    <w:p>
      <w:pPr>
        <w:pStyle w:val="TextBody"/>
        <w:bidi w:val="0"/>
        <w:spacing w:before="240" w:after="0"/>
        <w:jc w:val="left"/>
        <w:rPr>
          <w:rFonts w:ascii="Arial" w:hAnsi="Arial"/>
          <w:b/>
          <w:color w:val="0A7DAC"/>
          <w:sz w:val="25"/>
        </w:rPr>
      </w:pPr>
      <w:r>
        <w:rPr>
          <w:rFonts w:ascii="Arial" w:hAnsi="Arial"/>
          <w:b/>
          <w:color w:val="0A7DAC"/>
          <w:sz w:val="25"/>
        </w:rPr>
        <w:t xml:space="preserve">Fiscal 2026 Financial Results and Other Achievements </w:t>
      </w:r>
    </w:p>
    <w:p>
      <w:pPr>
        <w:pStyle w:val="TextBody"/>
        <w:bidi w:val="0"/>
        <w:spacing w:before="120" w:after="0"/>
        <w:jc w:val="left"/>
        <w:rPr>
          <w:rFonts w:ascii="Arial" w:hAnsi="Arial"/>
          <w:color w:val="191919"/>
          <w:sz w:val="18"/>
        </w:rPr>
      </w:pPr>
      <w:r>
        <w:rPr>
          <w:rFonts w:ascii="Arial" w:hAnsi="Arial"/>
          <w:color w:val="191919"/>
          <w:sz w:val="18"/>
        </w:rPr>
        <w:t xml:space="preserve">Fiscal 2026 was a year of significant change for our organization – with intentionality, we are a meaningfully larger and more diversified company than we were last year. Driven by our disciplined capital allocation philosophy, and facilitated by our strong balance sheet, we invested in multiple high-quality growth opportunities, deploying over $1.0 billion of acquisition capital in consummating five highly synergistic, cash-flow accretive acquisitions. This included MARS Parts, our largest acquisition to date, and Aspen Manufacturing within our Contractor Solutions segment. </w:t>
      </w:r>
    </w:p>
    <w:p>
      <w:pPr>
        <w:pStyle w:val="TextBody"/>
        <w:bidi w:val="0"/>
        <w:spacing w:before="120" w:after="0"/>
        <w:jc w:val="left"/>
        <w:rPr>
          <w:rFonts w:ascii="Arial" w:hAnsi="Arial"/>
          <w:color w:val="191919"/>
          <w:sz w:val="18"/>
        </w:rPr>
      </w:pPr>
      <w:r>
        <w:rPr>
          <w:rFonts w:ascii="Arial" w:hAnsi="Arial"/>
          <w:color w:val="191919"/>
          <w:sz w:val="18"/>
        </w:rPr>
        <w:t xml:space="preserve">Throughout the year, we remained true to our stated approach to driving sustainable growth and long-term shareholder value via a strategy that combines organic and inorganic growth, which once again enabled us to deliver record results in fiscal 2026. These results were achieved against a backdrop of challenged end markets driven by multiple factors, including rapidly changing foreign policy, the imposition of new and increased tariffs, and increased macroeconomic volatility, ultimately surpassing the impressive results of the prior year. We also returned almost $150 million of capital to shareholders through share repurchases and dividends, demonstrating our continued commitment to long-term value creation and utilizing all capital allocation avenues available to us. </w:t>
      </w:r>
    </w:p>
    <w:p>
      <w:pPr>
        <w:pStyle w:val="TextBody"/>
        <w:bidi w:val="0"/>
        <w:spacing w:before="120" w:after="0"/>
        <w:jc w:val="left"/>
        <w:rPr>
          <w:rFonts w:ascii="Arial" w:hAnsi="Arial"/>
          <w:color w:val="191919"/>
          <w:sz w:val="18"/>
        </w:rPr>
      </w:pPr>
      <w:r>
        <w:rPr>
          <w:rFonts w:ascii="Arial" w:hAnsi="Arial"/>
          <w:color w:val="191919"/>
          <w:sz w:val="18"/>
        </w:rPr>
        <w:t xml:space="preserve">Perhaps most importantly, we achieved all of this while remaining true to our distinctive employee-centric culture. We remain steadfast in our commitment to fostering a culture of respect where we focus on recruiting and retaining great talent, offering rewarding careers, and recognizing team members who excel while providing the opportunity for a safe, secure, and dignified retirement.The following highlights our consolidated financial results achieved in fiscal 2026 (comparisons to fiscal 2025). </w:t>
      </w:r>
    </w:p>
    <w:p>
      <w:pPr>
        <w:pStyle w:val="TextBody"/>
        <w:bidi w:val="0"/>
        <w:spacing w:before="0" w:after="0"/>
        <w:jc w:val="left"/>
        <w:rPr/>
      </w:pPr>
      <w:r>
        <w:rPr/>
        <w:t> </w:t>
      </w:r>
    </w:p>
    <w:tbl>
      <w:tblPr>
        <w:tblW w:w="6800" w:type="dxa"/>
        <w:jc w:val="left"/>
        <w:tblInd w:w="0" w:type="dxa"/>
        <w:tblLayout w:type="fixed"/>
        <w:tblCellMar>
          <w:top w:w="0" w:type="dxa"/>
          <w:left w:w="0" w:type="dxa"/>
          <w:bottom w:w="0" w:type="dxa"/>
          <w:right w:w="0" w:type="dxa"/>
        </w:tblCellMar>
      </w:tblPr>
      <w:tblGrid>
        <w:gridCol w:w="1250"/>
        <w:gridCol w:w="120"/>
        <w:gridCol w:w="1700"/>
        <w:gridCol w:w="120"/>
        <w:gridCol w:w="1505"/>
        <w:gridCol w:w="120"/>
        <w:gridCol w:w="198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1250"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Revenues</w:t>
            </w:r>
          </w:p>
          <w:p>
            <w:pPr>
              <w:pStyle w:val="TableContents"/>
              <w:bidi w:val="0"/>
              <w:spacing w:before="0" w:after="0"/>
              <w:jc w:val="center"/>
              <w:rPr>
                <w:rFonts w:ascii="Arial" w:hAnsi="Arial"/>
                <w:color w:val="7DB655"/>
                <w:sz w:val="50"/>
              </w:rPr>
            </w:pPr>
            <w:r>
              <w:rPr>
                <w:rFonts w:ascii="Arial" w:hAnsi="Arial"/>
                <w:color w:val="7DB655"/>
                <w:sz w:val="50"/>
              </w:rPr>
              <w:t>$1.1b</w:t>
            </w:r>
          </w:p>
          <w:p>
            <w:pPr>
              <w:pStyle w:val="TableContents"/>
              <w:bidi w:val="0"/>
              <w:spacing w:before="0" w:after="0"/>
              <w:jc w:val="center"/>
              <w:rPr>
                <w:rFonts w:ascii="Arial" w:hAnsi="Arial"/>
                <w:b/>
                <w:color w:val="7DB655"/>
                <w:sz w:val="22"/>
              </w:rPr>
            </w:pPr>
            <w:r>
              <w:rPr>
                <w:rFonts w:ascii="Arial" w:hAnsi="Arial"/>
                <w:b/>
                <w:color w:val="7DB655"/>
                <w:sz w:val="22"/>
              </w:rPr>
              <w:t>+23.2%</w:t>
            </w:r>
          </w:p>
          <w:p>
            <w:pPr>
              <w:pStyle w:val="TableContents"/>
              <w:bidi w:val="0"/>
              <w:spacing w:before="0" w:after="20"/>
              <w:jc w:val="left"/>
              <w:rPr/>
            </w:pPr>
            <w:r>
              <w:rPr/>
              <w:t> </w:t>
            </w:r>
          </w:p>
        </w:tc>
        <w:tc>
          <w:tcPr>
            <w:tcW w:w="120" w:type="dxa"/>
            <w:tcBorders>
              <w:top w:val="single" w:sz="56" w:space="0" w:color="7DB655"/>
            </w:tcBorders>
            <w:tcMar>
              <w:top w:w="28" w:type="dxa"/>
            </w:tcMar>
            <w:vAlign w:val="center"/>
          </w:tcPr>
          <w:p>
            <w:pPr>
              <w:pStyle w:val="TableContents"/>
              <w:bidi w:val="0"/>
              <w:spacing w:before="0" w:after="283"/>
              <w:jc w:val="left"/>
              <w:rPr/>
            </w:pPr>
            <w:r>
              <w:rPr/>
              <w:t>  </w:t>
            </w:r>
          </w:p>
        </w:tc>
        <w:tc>
          <w:tcPr>
            <w:tcW w:w="1700"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Adjusted EBITDA*</w:t>
            </w:r>
          </w:p>
          <w:p>
            <w:pPr>
              <w:pStyle w:val="TableContents"/>
              <w:bidi w:val="0"/>
              <w:spacing w:before="0" w:after="0"/>
              <w:jc w:val="center"/>
              <w:rPr>
                <w:rFonts w:ascii="Arial" w:hAnsi="Arial"/>
                <w:color w:val="7DB655"/>
                <w:sz w:val="50"/>
              </w:rPr>
            </w:pPr>
            <w:r>
              <w:rPr>
                <w:rFonts w:ascii="Arial" w:hAnsi="Arial"/>
                <w:color w:val="7DB655"/>
                <w:sz w:val="50"/>
              </w:rPr>
              <w:t>$270m</w:t>
            </w:r>
          </w:p>
          <w:p>
            <w:pPr>
              <w:pStyle w:val="TableContents"/>
              <w:bidi w:val="0"/>
              <w:spacing w:before="0" w:after="0"/>
              <w:jc w:val="center"/>
              <w:rPr>
                <w:rFonts w:ascii="Arial" w:hAnsi="Arial"/>
                <w:b/>
                <w:color w:val="7DB655"/>
                <w:sz w:val="22"/>
              </w:rPr>
            </w:pPr>
            <w:r>
              <w:rPr>
                <w:rFonts w:ascii="Arial" w:hAnsi="Arial"/>
                <w:b/>
                <w:color w:val="7DB655"/>
                <w:sz w:val="22"/>
              </w:rPr>
              <w:t>+18.3%</w:t>
            </w:r>
          </w:p>
          <w:p>
            <w:pPr>
              <w:pStyle w:val="TableContents"/>
              <w:bidi w:val="0"/>
              <w:spacing w:before="0" w:after="20"/>
              <w:jc w:val="left"/>
              <w:rPr/>
            </w:pPr>
            <w:r>
              <w:rPr/>
              <w:t> </w:t>
            </w:r>
          </w:p>
        </w:tc>
        <w:tc>
          <w:tcPr>
            <w:tcW w:w="120" w:type="dxa"/>
            <w:tcBorders>
              <w:top w:val="single" w:sz="56" w:space="0" w:color="7DB655"/>
            </w:tcBorders>
            <w:tcMar>
              <w:top w:w="28" w:type="dxa"/>
            </w:tcMar>
            <w:vAlign w:val="center"/>
          </w:tcPr>
          <w:p>
            <w:pPr>
              <w:pStyle w:val="TableContents"/>
              <w:bidi w:val="0"/>
              <w:spacing w:before="0" w:after="283"/>
              <w:jc w:val="left"/>
              <w:rPr/>
            </w:pPr>
            <w:r>
              <w:rPr/>
              <w:t>  </w:t>
            </w:r>
          </w:p>
        </w:tc>
        <w:tc>
          <w:tcPr>
            <w:tcW w:w="1505"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Adjusted EPS*</w:t>
            </w:r>
          </w:p>
          <w:p>
            <w:pPr>
              <w:pStyle w:val="TableContents"/>
              <w:bidi w:val="0"/>
              <w:spacing w:before="0" w:after="0"/>
              <w:jc w:val="center"/>
              <w:rPr>
                <w:rFonts w:ascii="Arial" w:hAnsi="Arial"/>
                <w:color w:val="7DB655"/>
                <w:sz w:val="50"/>
              </w:rPr>
            </w:pPr>
            <w:r>
              <w:rPr>
                <w:rFonts w:ascii="Arial" w:hAnsi="Arial"/>
                <w:color w:val="7DB655"/>
                <w:sz w:val="50"/>
              </w:rPr>
              <w:t>$10.38</w:t>
            </w:r>
          </w:p>
          <w:p>
            <w:pPr>
              <w:pStyle w:val="TableContents"/>
              <w:bidi w:val="0"/>
              <w:spacing w:before="0" w:after="0"/>
              <w:jc w:val="center"/>
              <w:rPr>
                <w:rFonts w:ascii="Arial" w:hAnsi="Arial"/>
                <w:b/>
                <w:color w:val="7DB655"/>
                <w:sz w:val="22"/>
              </w:rPr>
            </w:pPr>
            <w:r>
              <w:rPr>
                <w:rFonts w:ascii="Arial" w:hAnsi="Arial"/>
                <w:b/>
                <w:color w:val="7DB655"/>
                <w:sz w:val="22"/>
              </w:rPr>
              <w:t>+6.9%</w:t>
            </w:r>
          </w:p>
          <w:p>
            <w:pPr>
              <w:pStyle w:val="TableContents"/>
              <w:bidi w:val="0"/>
              <w:spacing w:before="0" w:after="20"/>
              <w:jc w:val="left"/>
              <w:rPr/>
            </w:pPr>
            <w:r>
              <w:rPr/>
              <w:t> </w:t>
            </w:r>
          </w:p>
        </w:tc>
        <w:tc>
          <w:tcPr>
            <w:tcW w:w="120" w:type="dxa"/>
            <w:tcBorders>
              <w:top w:val="single" w:sz="56" w:space="0" w:color="7DB655"/>
            </w:tcBorders>
            <w:tcMar>
              <w:top w:w="28" w:type="dxa"/>
            </w:tcMar>
            <w:vAlign w:val="center"/>
          </w:tcPr>
          <w:p>
            <w:pPr>
              <w:pStyle w:val="TableContents"/>
              <w:bidi w:val="0"/>
              <w:spacing w:before="0" w:after="283"/>
              <w:jc w:val="left"/>
              <w:rPr/>
            </w:pPr>
            <w:r>
              <w:rPr/>
              <w:t>  </w:t>
            </w:r>
          </w:p>
        </w:tc>
        <w:tc>
          <w:tcPr>
            <w:tcW w:w="1985" w:type="dxa"/>
            <w:tcBorders>
              <w:top w:val="single" w:sz="56" w:space="0" w:color="7DB655"/>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Operating Cash Flow</w:t>
            </w:r>
          </w:p>
          <w:p>
            <w:pPr>
              <w:pStyle w:val="TableContents"/>
              <w:bidi w:val="0"/>
              <w:spacing w:before="0" w:after="0"/>
              <w:jc w:val="center"/>
              <w:rPr>
                <w:rFonts w:ascii="Arial" w:hAnsi="Arial"/>
                <w:color w:val="7DB655"/>
                <w:sz w:val="50"/>
              </w:rPr>
            </w:pPr>
            <w:r>
              <w:rPr>
                <w:rFonts w:ascii="Arial" w:hAnsi="Arial"/>
                <w:color w:val="7DB655"/>
                <w:sz w:val="50"/>
              </w:rPr>
              <w:t>$150m</w:t>
            </w:r>
          </w:p>
          <w:p>
            <w:pPr>
              <w:pStyle w:val="TableContents"/>
              <w:bidi w:val="0"/>
              <w:spacing w:before="0" w:after="0"/>
              <w:jc w:val="center"/>
              <w:rPr>
                <w:rFonts w:ascii="Arial" w:hAnsi="Arial"/>
                <w:b/>
                <w:color w:val="7DB655"/>
                <w:sz w:val="22"/>
              </w:rPr>
            </w:pPr>
            <w:r>
              <w:rPr>
                <w:rFonts w:ascii="Arial" w:hAnsi="Arial"/>
                <w:b/>
                <w:color w:val="7DB655"/>
                <w:sz w:val="22"/>
              </w:rPr>
              <w:t>-11.1%</w:t>
            </w:r>
          </w:p>
          <w:p>
            <w:pPr>
              <w:pStyle w:val="TableContents"/>
              <w:bidi w:val="0"/>
              <w:spacing w:before="0" w:after="20"/>
              <w:jc w:val="left"/>
              <w:rPr/>
            </w:pPr>
            <w:r>
              <w:rPr/>
              <w:t>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155"/>
        <w:gridCol w:w="3395"/>
      </w:tblGrid>
      <w:tr>
        <w:trPr/>
        <w:tc>
          <w:tcPr>
            <w:tcW w:w="155" w:type="dxa"/>
            <w:tcBorders/>
            <w:vAlign w:val="center"/>
          </w:tcPr>
          <w:p>
            <w:pPr>
              <w:pStyle w:val="TableContents"/>
              <w:bidi w:val="0"/>
              <w:spacing w:before="0" w:after="283"/>
              <w:jc w:val="left"/>
              <w:rPr>
                <w:i/>
                <w:color w:val="191919"/>
              </w:rPr>
            </w:pPr>
            <w:r>
              <w:rPr>
                <w:i/>
                <w:color w:val="191919"/>
              </w:rPr>
              <w:t>*</w:t>
            </w:r>
          </w:p>
        </w:tc>
        <w:tc>
          <w:tcPr>
            <w:tcW w:w="339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Reconciliation to GAAP amounts appear on Exhibit A. </w:t>
            </w:r>
          </w:p>
        </w:tc>
      </w:tr>
    </w:tbl>
    <w:p>
      <w:pPr>
        <w:pStyle w:val="TextBody"/>
        <w:bidi w:val="0"/>
        <w:spacing w:before="240" w:after="0"/>
        <w:jc w:val="left"/>
        <w:rPr>
          <w:rFonts w:ascii="Arial" w:hAnsi="Arial"/>
          <w:b/>
          <w:color w:val="0A7DAC"/>
          <w:sz w:val="25"/>
        </w:rPr>
      </w:pPr>
      <w:r>
        <w:rPr>
          <w:rFonts w:ascii="Arial" w:hAnsi="Arial"/>
          <w:b/>
          <w:color w:val="0A7DAC"/>
          <w:sz w:val="25"/>
        </w:rPr>
        <w:t xml:space="preserve">Compensation Objectives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has designed our executive compensation program for one purpose: to support and enable execution of CSW’s growth strategy. To accomplish this purpose, we have adopted the following key executive compensation objectives: </w:t>
      </w:r>
    </w:p>
    <w:p>
      <w:pPr>
        <w:pStyle w:val="TextBody"/>
        <w:bidi w:val="0"/>
        <w:spacing w:before="0" w:after="0"/>
        <w:jc w:val="left"/>
        <w:rPr/>
      </w:pPr>
      <w:r>
        <w:rPr/>
        <w:t> </w:t>
      </w:r>
    </w:p>
    <w:tbl>
      <w:tblPr>
        <w:tblW w:w="6989" w:type="dxa"/>
        <w:jc w:val="left"/>
        <w:tblInd w:w="0" w:type="dxa"/>
        <w:tblLayout w:type="fixed"/>
        <w:tblCellMar>
          <w:top w:w="0" w:type="dxa"/>
          <w:left w:w="0" w:type="dxa"/>
          <w:bottom w:w="0" w:type="dxa"/>
          <w:right w:w="0" w:type="dxa"/>
        </w:tblCellMar>
      </w:tblPr>
      <w:tblGrid>
        <w:gridCol w:w="1445"/>
        <w:gridCol w:w="60"/>
        <w:gridCol w:w="23"/>
        <w:gridCol w:w="60"/>
        <w:gridCol w:w="1745"/>
        <w:gridCol w:w="60"/>
        <w:gridCol w:w="23"/>
        <w:gridCol w:w="60"/>
        <w:gridCol w:w="1355"/>
        <w:gridCol w:w="60"/>
        <w:gridCol w:w="23"/>
        <w:gridCol w:w="120"/>
        <w:gridCol w:w="1955"/>
      </w:tblGrid>
      <w:tr>
        <w:trPr/>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1445" w:type="dxa"/>
            <w:tcBorders/>
            <w:shd w:fill="F5F9F3" w:val="clear"/>
            <w:vAlign w:val="center"/>
          </w:tcPr>
          <w:p>
            <w:pPr>
              <w:pStyle w:val="TableContents"/>
              <w:bidi w:val="0"/>
              <w:spacing w:before="0" w:after="283"/>
              <w:jc w:val="center"/>
              <w:rPr/>
            </w:pPr>
            <w:r>
              <w:rPr/>
              <w:drawing>
                <wp:inline distT="0" distB="0" distL="0" distR="0">
                  <wp:extent cx="708025" cy="555625"/>
                  <wp:effectExtent l="0" t="0" r="0" b="0"/>
                  <wp:docPr id="241"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9" descr=""/>
                          <pic:cNvPicPr>
                            <a:picLocks noChangeAspect="1" noChangeArrowheads="1"/>
                          </pic:cNvPicPr>
                        </pic:nvPicPr>
                        <pic:blipFill>
                          <a:blip r:embed="rId230"/>
                          <a:stretch>
                            <a:fillRect/>
                          </a:stretch>
                        </pic:blipFill>
                        <pic:spPr bwMode="auto">
                          <a:xfrm>
                            <a:off x="0" y="0"/>
                            <a:ext cx="708025" cy="5556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EDF5F9" w:val="clear"/>
            <w:vAlign w:val="center"/>
          </w:tcPr>
          <w:p>
            <w:pPr>
              <w:pStyle w:val="TableContents"/>
              <w:bidi w:val="0"/>
              <w:spacing w:before="0" w:after="283"/>
              <w:jc w:val="left"/>
              <w:rPr/>
            </w:pPr>
            <w:r>
              <w:rPr/>
              <w:t> </w:t>
            </w:r>
          </w:p>
        </w:tc>
        <w:tc>
          <w:tcPr>
            <w:tcW w:w="1745" w:type="dxa"/>
            <w:tcBorders/>
            <w:shd w:fill="EDF5F9" w:val="clear"/>
            <w:vAlign w:val="center"/>
          </w:tcPr>
          <w:p>
            <w:pPr>
              <w:pStyle w:val="TableContents"/>
              <w:bidi w:val="0"/>
              <w:spacing w:before="0" w:after="283"/>
              <w:jc w:val="center"/>
              <w:rPr/>
            </w:pPr>
            <w:r>
              <w:rPr/>
              <w:drawing>
                <wp:inline distT="0" distB="0" distL="0" distR="0">
                  <wp:extent cx="831850" cy="541655"/>
                  <wp:effectExtent l="0" t="0" r="0" b="0"/>
                  <wp:docPr id="242"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0" descr=""/>
                          <pic:cNvPicPr>
                            <a:picLocks noChangeAspect="1" noChangeArrowheads="1"/>
                          </pic:cNvPicPr>
                        </pic:nvPicPr>
                        <pic:blipFill>
                          <a:blip r:embed="rId231"/>
                          <a:stretch>
                            <a:fillRect/>
                          </a:stretch>
                        </pic:blipFill>
                        <pic:spPr bwMode="auto">
                          <a:xfrm>
                            <a:off x="0" y="0"/>
                            <a:ext cx="831850" cy="54165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7EE" w:val="clear"/>
            <w:vAlign w:val="center"/>
          </w:tcPr>
          <w:p>
            <w:pPr>
              <w:pStyle w:val="TableContents"/>
              <w:bidi w:val="0"/>
              <w:spacing w:before="0" w:after="283"/>
              <w:jc w:val="left"/>
              <w:rPr/>
            </w:pPr>
            <w:r>
              <w:rPr/>
              <w:t> </w:t>
            </w:r>
          </w:p>
        </w:tc>
        <w:tc>
          <w:tcPr>
            <w:tcW w:w="1355" w:type="dxa"/>
            <w:tcBorders/>
            <w:shd w:fill="FFF7EE" w:val="clear"/>
            <w:vAlign w:val="center"/>
          </w:tcPr>
          <w:p>
            <w:pPr>
              <w:pStyle w:val="TableContents"/>
              <w:bidi w:val="0"/>
              <w:spacing w:before="0" w:after="283"/>
              <w:jc w:val="center"/>
              <w:rPr/>
            </w:pPr>
            <w:r>
              <w:rPr/>
              <w:drawing>
                <wp:inline distT="0" distB="0" distL="0" distR="0">
                  <wp:extent cx="573405" cy="544195"/>
                  <wp:effectExtent l="0" t="0" r="0" b="0"/>
                  <wp:docPr id="243"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1" descr=""/>
                          <pic:cNvPicPr>
                            <a:picLocks noChangeAspect="1" noChangeArrowheads="1"/>
                          </pic:cNvPicPr>
                        </pic:nvPicPr>
                        <pic:blipFill>
                          <a:blip r:embed="rId232"/>
                          <a:stretch>
                            <a:fillRect/>
                          </a:stretch>
                        </pic:blipFill>
                        <pic:spPr bwMode="auto">
                          <a:xfrm>
                            <a:off x="0" y="0"/>
                            <a:ext cx="573405" cy="5441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955"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654050" cy="711200"/>
                  <wp:effectExtent l="0" t="0" r="0" b="0"/>
                  <wp:docPr id="244"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2" descr=""/>
                          <pic:cNvPicPr>
                            <a:picLocks noChangeAspect="1" noChangeArrowheads="1"/>
                          </pic:cNvPicPr>
                        </pic:nvPicPr>
                        <pic:blipFill>
                          <a:blip r:embed="rId233"/>
                          <a:stretch>
                            <a:fillRect/>
                          </a:stretch>
                        </pic:blipFill>
                        <pic:spPr bwMode="auto">
                          <a:xfrm>
                            <a:off x="0" y="0"/>
                            <a:ext cx="654050" cy="711200"/>
                          </a:xfrm>
                          <a:prstGeom prst="rect">
                            <a:avLst/>
                          </a:prstGeom>
                        </pic:spPr>
                      </pic:pic>
                    </a:graphicData>
                  </a:graphic>
                </wp:inline>
              </w:drawing>
            </w:r>
            <w:r>
              <w:rPr/>
              <w:t xml:space="preserve"> </w:t>
            </w:r>
          </w:p>
        </w:tc>
      </w:tr>
      <w:tr>
        <w:trPr/>
        <w:tc>
          <w:tcPr>
            <w:tcW w:w="1445" w:type="dxa"/>
            <w:tcBorders/>
            <w:shd w:fill="F5F9F3" w:val="clear"/>
            <w:vAlign w:val="center"/>
          </w:tcPr>
          <w:p>
            <w:pPr>
              <w:pStyle w:val="TableContents"/>
              <w:bidi w:val="0"/>
              <w:spacing w:before="0" w:after="0"/>
              <w:jc w:val="center"/>
              <w:rPr>
                <w:rFonts w:ascii="Arial" w:hAnsi="Arial"/>
                <w:b/>
                <w:color w:val="191919"/>
                <w:sz w:val="18"/>
              </w:rPr>
            </w:pPr>
            <w:r>
              <w:rPr>
                <w:rFonts w:ascii="Arial" w:hAnsi="Arial"/>
                <w:b/>
                <w:color w:val="191919"/>
                <w:sz w:val="18"/>
              </w:rPr>
              <w:t>Align Long-Term</w:t>
              <w:br/>
              <w:t>Executive and</w:t>
              <w:br/>
              <w:t>Shareholder</w:t>
              <w:br/>
              <w:t>Interests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EDF5F9" w:val="clear"/>
            <w:vAlign w:val="center"/>
          </w:tcPr>
          <w:p>
            <w:pPr>
              <w:pStyle w:val="TableContents"/>
              <w:bidi w:val="0"/>
              <w:spacing w:before="0" w:after="283"/>
              <w:jc w:val="left"/>
              <w:rPr/>
            </w:pPr>
            <w:r>
              <w:rPr/>
              <w:t> </w:t>
            </w:r>
          </w:p>
        </w:tc>
        <w:tc>
          <w:tcPr>
            <w:tcW w:w="1745" w:type="dxa"/>
            <w:tcBorders/>
            <w:shd w:fill="EDF5F9" w:val="clear"/>
            <w:vAlign w:val="center"/>
          </w:tcPr>
          <w:p>
            <w:pPr>
              <w:pStyle w:val="TableContents"/>
              <w:bidi w:val="0"/>
              <w:spacing w:before="0" w:after="283"/>
              <w:jc w:val="center"/>
              <w:rPr>
                <w:b/>
                <w:color w:val="191919"/>
              </w:rPr>
            </w:pPr>
            <w:r>
              <w:rPr>
                <w:b/>
                <w:color w:val="191919"/>
              </w:rPr>
              <w:t>Reward Current</w:t>
              <w:br/>
              <w:t>Performance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7EE" w:val="clear"/>
            <w:vAlign w:val="center"/>
          </w:tcPr>
          <w:p>
            <w:pPr>
              <w:pStyle w:val="TableContents"/>
              <w:bidi w:val="0"/>
              <w:spacing w:before="0" w:after="283"/>
              <w:jc w:val="left"/>
              <w:rPr/>
            </w:pPr>
            <w:r>
              <w:rPr/>
              <w:t> </w:t>
            </w:r>
          </w:p>
        </w:tc>
        <w:tc>
          <w:tcPr>
            <w:tcW w:w="1355" w:type="dxa"/>
            <w:tcBorders/>
            <w:shd w:fill="FFF7EE" w:val="clear"/>
            <w:vAlign w:val="center"/>
          </w:tcPr>
          <w:p>
            <w:pPr>
              <w:pStyle w:val="TableContents"/>
              <w:bidi w:val="0"/>
              <w:spacing w:before="0" w:after="283"/>
              <w:jc w:val="center"/>
              <w:rPr>
                <w:b/>
                <w:color w:val="191919"/>
              </w:rPr>
            </w:pPr>
            <w:r>
              <w:rPr>
                <w:b/>
                <w:color w:val="191919"/>
              </w:rPr>
              <w:t>Drive Future</w:t>
              <w:br/>
              <w:t>Performance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955" w:type="dxa"/>
            <w:tcBorders/>
            <w:shd w:fill="EDEDED" w:val="clear"/>
            <w:vAlign w:val="center"/>
          </w:tcPr>
          <w:p>
            <w:pPr>
              <w:pStyle w:val="TableContents"/>
              <w:bidi w:val="0"/>
              <w:spacing w:before="0" w:after="283"/>
              <w:jc w:val="center"/>
              <w:rPr>
                <w:b/>
                <w:color w:val="191919"/>
              </w:rPr>
            </w:pPr>
            <w:r>
              <w:rPr>
                <w:b/>
                <w:color w:val="191919"/>
              </w:rPr>
              <w:t>Attract and Retain</w:t>
              <w:br/>
              <w:t>Key Leaders</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45"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3" descr=""/>
                          <pic:cNvPicPr>
                            <a:picLocks noChangeAspect="1" noChangeArrowheads="1"/>
                          </pic:cNvPicPr>
                        </pic:nvPicPr>
                        <pic:blipFill>
                          <a:blip r:embed="rId23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Overview of the Executive Compensation Program </w:t>
      </w:r>
    </w:p>
    <w:p>
      <w:pPr>
        <w:pStyle w:val="TextBody"/>
        <w:bidi w:val="0"/>
        <w:spacing w:before="240" w:after="0"/>
        <w:jc w:val="left"/>
        <w:rPr>
          <w:rFonts w:ascii="Arial" w:hAnsi="Arial"/>
          <w:color w:val="191919"/>
          <w:sz w:val="18"/>
        </w:rPr>
      </w:pPr>
      <w:r>
        <w:rPr>
          <w:rFonts w:ascii="Arial" w:hAnsi="Arial"/>
          <w:color w:val="191919"/>
          <w:sz w:val="18"/>
        </w:rPr>
        <w:t xml:space="preserve">We utilize the following compensation elements to achieve each of our key executive compensation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89"/>
        <w:gridCol w:w="60"/>
        <w:gridCol w:w="1497"/>
        <w:gridCol w:w="60"/>
        <w:gridCol w:w="1190"/>
        <w:gridCol w:w="60"/>
        <w:gridCol w:w="487"/>
        <w:gridCol w:w="60"/>
        <w:gridCol w:w="2272"/>
        <w:gridCol w:w="60"/>
        <w:gridCol w:w="3270"/>
      </w:tblGrid>
      <w:tr>
        <w:trPr/>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8" w:space="0" w:color="7DB655"/>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Pay Element</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1497" w:type="dxa"/>
            <w:tcBorders>
              <w:bottom w:val="single" w:sz="8" w:space="0" w:color="7DB655"/>
            </w:tcBorders>
            <w:tcMar>
              <w:bottom w:w="40" w:type="dxa"/>
            </w:tcMar>
            <w:vAlign w:val="center"/>
          </w:tcPr>
          <w:p>
            <w:pPr>
              <w:pStyle w:val="TableContents"/>
              <w:bidi w:val="0"/>
              <w:spacing w:before="0" w:after="283"/>
              <w:jc w:val="left"/>
              <w:rPr>
                <w:b/>
                <w:color w:val="191919"/>
              </w:rPr>
            </w:pPr>
            <w:r>
              <w:rPr>
                <w:b/>
                <w:color w:val="191919"/>
              </w:rPr>
              <w:t>Form</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1190" w:type="dxa"/>
            <w:tcBorders>
              <w:bottom w:val="single" w:sz="8"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2819" w:type="dxa"/>
            <w:gridSpan w:val="3"/>
            <w:tcBorders>
              <w:bottom w:val="single" w:sz="8" w:space="0" w:color="7DB655"/>
            </w:tcBorders>
            <w:tcMar>
              <w:bottom w:w="40" w:type="dxa"/>
            </w:tcMar>
            <w:vAlign w:val="center"/>
          </w:tcPr>
          <w:p>
            <w:pPr>
              <w:pStyle w:val="TableContents"/>
              <w:bidi w:val="0"/>
              <w:spacing w:before="0" w:after="283"/>
              <w:jc w:val="left"/>
              <w:rPr>
                <w:b/>
                <w:color w:val="191919"/>
              </w:rPr>
            </w:pPr>
            <w:r>
              <w:rPr>
                <w:b/>
                <w:color w:val="191919"/>
              </w:rPr>
              <w:t xml:space="preserve">Compensation Objective </w:t>
              <w:br/>
              <w:t>Addressed</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3270" w:type="dxa"/>
            <w:tcBorders>
              <w:bottom w:val="single" w:sz="8" w:space="0" w:color="7DB655"/>
            </w:tcBorders>
            <w:tcMar>
              <w:bottom w:w="40" w:type="dxa"/>
            </w:tcMar>
            <w:vAlign w:val="center"/>
          </w:tcPr>
          <w:p>
            <w:pPr>
              <w:pStyle w:val="TableContents"/>
              <w:bidi w:val="0"/>
              <w:spacing w:before="0" w:after="283"/>
              <w:jc w:val="left"/>
              <w:rPr>
                <w:b/>
                <w:color w:val="191919"/>
              </w:rPr>
            </w:pPr>
            <w:r>
              <w:rPr>
                <w:b/>
                <w:color w:val="191919"/>
              </w:rPr>
              <w:t>Description &amp; Rationale</w:t>
            </w:r>
          </w:p>
        </w:tc>
      </w:tr>
      <w:tr>
        <w:trPr/>
        <w:tc>
          <w:tcPr>
            <w:tcW w:w="1189" w:type="dxa"/>
            <w:tcBorders/>
            <w:vAlign w:val="center"/>
          </w:tcPr>
          <w:p>
            <w:pPr>
              <w:pStyle w:val="TableContents"/>
              <w:bidi w:val="0"/>
              <w:spacing w:before="0" w:after="283"/>
              <w:jc w:val="left"/>
              <w:rPr>
                <w:sz w:val="4"/>
                <w:szCs w:val="4"/>
              </w:rPr>
            </w:pPr>
            <w:r>
              <w:rPr>
                <w:sz w:val="4"/>
                <w:szCs w:val="4"/>
              </w:rPr>
            </w:r>
          </w:p>
        </w:tc>
        <w:tc>
          <w:tcPr>
            <w:tcW w:w="1557"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Base Salary</w:t>
            </w:r>
          </w:p>
        </w:tc>
        <w:tc>
          <w:tcPr>
            <w:tcW w:w="60"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left"/>
              <w:rPr>
                <w:b/>
                <w:color w:val="191919"/>
              </w:rPr>
            </w:pPr>
            <w:r>
              <w:rPr>
                <w:b/>
                <w:color w:val="191919"/>
              </w:rPr>
              <w:t>Cash</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97815" cy="217805"/>
                  <wp:effectExtent l="0" t="0" r="0" b="0"/>
                  <wp:docPr id="246"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4" descr=""/>
                          <pic:cNvPicPr>
                            <a:picLocks noChangeAspect="1" noChangeArrowheads="1"/>
                          </pic:cNvPicPr>
                        </pic:nvPicPr>
                        <pic:blipFill>
                          <a:blip r:embed="rId235"/>
                          <a:stretch>
                            <a:fillRect/>
                          </a:stretch>
                        </pic:blipFill>
                        <pic:spPr bwMode="auto">
                          <a:xfrm>
                            <a:off x="0" y="0"/>
                            <a:ext cx="297815" cy="21780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Reward Current Performance</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vMerge w:val="restart"/>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Fixed cash compensation aligned with responsibilities of the position and market benchmarks</w:t>
            </w:r>
          </w:p>
        </w:tc>
      </w:tr>
      <w:tr>
        <w:trPr/>
        <w:tc>
          <w:tcPr>
            <w:tcW w:w="1189"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97"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47"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5" descr=""/>
                          <pic:cNvPicPr>
                            <a:picLocks noChangeAspect="1" noChangeArrowheads="1"/>
                          </pic:cNvPicPr>
                        </pic:nvPicPr>
                        <pic:blipFill>
                          <a:blip r:embed="rId236"/>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Attract and Retain</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vAlign w:val="center"/>
          </w:tcPr>
          <w:p>
            <w:pPr>
              <w:pStyle w:val="TableContents"/>
              <w:bidi w:val="0"/>
              <w:spacing w:before="0" w:after="283"/>
              <w:jc w:val="left"/>
              <w:rPr>
                <w:sz w:val="4"/>
                <w:szCs w:val="4"/>
              </w:rPr>
            </w:pPr>
            <w:r>
              <w:rPr>
                <w:sz w:val="4"/>
                <w:szCs w:val="4"/>
              </w:rPr>
            </w:r>
          </w:p>
        </w:tc>
        <w:tc>
          <w:tcPr>
            <w:tcW w:w="2807" w:type="dxa"/>
            <w:gridSpan w:val="4"/>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Annual Incentive</w:t>
            </w:r>
          </w:p>
        </w:tc>
        <w:tc>
          <w:tcPr>
            <w:tcW w:w="60" w:type="dxa"/>
            <w:tcBorders/>
            <w:vAlign w:val="center"/>
          </w:tcPr>
          <w:p>
            <w:pPr>
              <w:pStyle w:val="TableContents"/>
              <w:bidi w:val="0"/>
              <w:spacing w:before="0" w:after="283"/>
              <w:jc w:val="left"/>
              <w:rPr/>
            </w:pPr>
            <w:r>
              <w:rPr/>
              <w:t> </w:t>
            </w:r>
          </w:p>
        </w:tc>
        <w:tc>
          <w:tcPr>
            <w:tcW w:w="2747" w:type="dxa"/>
            <w:gridSpan w:val="3"/>
            <w:tcBorders/>
            <w:vAlign w:val="center"/>
          </w:tcPr>
          <w:p>
            <w:pPr>
              <w:pStyle w:val="TableContents"/>
              <w:bidi w:val="0"/>
              <w:spacing w:before="0" w:after="283"/>
              <w:jc w:val="left"/>
              <w:rPr>
                <w:b/>
                <w:color w:val="191919"/>
              </w:rPr>
            </w:pPr>
            <w:r>
              <w:rPr>
                <w:b/>
                <w:color w:val="191919"/>
              </w:rPr>
              <w:t>Performance Cash Opportunity</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6705" cy="233680"/>
                  <wp:effectExtent l="0" t="0" r="0" b="0"/>
                  <wp:docPr id="248"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6" descr=""/>
                          <pic:cNvPicPr>
                            <a:picLocks noChangeAspect="1" noChangeArrowheads="1"/>
                          </pic:cNvPicPr>
                        </pic:nvPicPr>
                        <pic:blipFill>
                          <a:blip r:embed="rId237"/>
                          <a:stretch>
                            <a:fillRect/>
                          </a:stretch>
                        </pic:blipFill>
                        <pic:spPr bwMode="auto">
                          <a:xfrm>
                            <a:off x="0" y="0"/>
                            <a:ext cx="306705" cy="23368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Shareholder Alignment</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vMerge w:val="restart"/>
            <w:tcBorders>
              <w:bottom w:val="single" w:sz="6" w:space="0" w:color="7DB655"/>
            </w:tcBorders>
            <w:tcMar>
              <w:bottom w:w="60" w:type="dxa"/>
            </w:tcMar>
            <w:vAlign w:val="center"/>
          </w:tcPr>
          <w:p>
            <w:pPr>
              <w:pStyle w:val="TableContents"/>
              <w:bidi w:val="0"/>
              <w:spacing w:before="0" w:after="0"/>
              <w:jc w:val="left"/>
              <w:rPr>
                <w:rFonts w:ascii="Arial" w:hAnsi="Arial"/>
                <w:color w:val="191919"/>
                <w:sz w:val="18"/>
              </w:rPr>
            </w:pPr>
            <w:r>
              <w:rPr>
                <w:rFonts w:ascii="Arial" w:hAnsi="Arial"/>
                <w:color w:val="191919"/>
                <w:sz w:val="18"/>
              </w:rPr>
              <w:t>Annual cash incentive tied to achievement of short-term performance metrics aligned with the Company’s strategy</w:t>
            </w:r>
          </w:p>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Payout ranges from 0% to 200% of target</w:t>
            </w:r>
          </w:p>
        </w:tc>
      </w:tr>
      <w:tr>
        <w:trPr/>
        <w:tc>
          <w:tcPr>
            <w:tcW w:w="11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97815" cy="217805"/>
                  <wp:effectExtent l="0" t="0" r="0" b="0"/>
                  <wp:docPr id="249"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7" descr=""/>
                          <pic:cNvPicPr>
                            <a:picLocks noChangeAspect="1" noChangeArrowheads="1"/>
                          </pic:cNvPicPr>
                        </pic:nvPicPr>
                        <pic:blipFill>
                          <a:blip r:embed="rId238"/>
                          <a:stretch>
                            <a:fillRect/>
                          </a:stretch>
                        </pic:blipFill>
                        <pic:spPr bwMode="auto">
                          <a:xfrm>
                            <a:off x="0" y="0"/>
                            <a:ext cx="297815" cy="21780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Reward Current Performance</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97"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50"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8" descr=""/>
                          <pic:cNvPicPr>
                            <a:picLocks noChangeAspect="1" noChangeArrowheads="1"/>
                          </pic:cNvPicPr>
                        </pic:nvPicPr>
                        <pic:blipFill>
                          <a:blip r:embed="rId239"/>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Attract and Retain</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vAlign w:val="center"/>
          </w:tcPr>
          <w:p>
            <w:pPr>
              <w:pStyle w:val="TableContents"/>
              <w:bidi w:val="0"/>
              <w:spacing w:before="0" w:after="283"/>
              <w:jc w:val="left"/>
              <w:rPr>
                <w:sz w:val="4"/>
                <w:szCs w:val="4"/>
              </w:rPr>
            </w:pPr>
            <w:r>
              <w:rPr>
                <w:sz w:val="4"/>
                <w:szCs w:val="4"/>
              </w:rPr>
            </w:r>
          </w:p>
        </w:tc>
        <w:tc>
          <w:tcPr>
            <w:tcW w:w="1557"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Long-Term Equity Incentive</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1497" w:type="dxa"/>
            <w:vMerge w:val="restart"/>
            <w:tcBorders>
              <w:bottom w:val="single" w:sz="6" w:space="0" w:color="7DB655"/>
            </w:tcBorders>
            <w:tcMar>
              <w:bottom w:w="60" w:type="dxa"/>
            </w:tcMar>
            <w:vAlign w:val="center"/>
          </w:tcPr>
          <w:p>
            <w:pPr>
              <w:pStyle w:val="TableContents"/>
              <w:bidi w:val="0"/>
              <w:spacing w:before="0" w:after="0"/>
              <w:jc w:val="left"/>
              <w:rPr>
                <w:rFonts w:ascii="Arial" w:hAnsi="Arial"/>
                <w:b/>
                <w:color w:val="191919"/>
                <w:sz w:val="18"/>
              </w:rPr>
            </w:pPr>
            <w:r>
              <w:rPr>
                <w:rFonts w:ascii="Arial" w:hAnsi="Arial"/>
                <w:b/>
                <w:color w:val="191919"/>
                <w:sz w:val="18"/>
              </w:rPr>
              <w:t>Performance Shares</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45820" cy="845820"/>
                  <wp:effectExtent l="0" t="0" r="0" b="0"/>
                  <wp:docPr id="251"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9" descr=""/>
                          <pic:cNvPicPr>
                            <a:picLocks noChangeAspect="1" noChangeArrowheads="1"/>
                          </pic:cNvPicPr>
                        </pic:nvPicPr>
                        <pic:blipFill>
                          <a:blip r:embed="rId240"/>
                          <a:stretch>
                            <a:fillRect/>
                          </a:stretch>
                        </pic:blipFill>
                        <pic:spPr bwMode="auto">
                          <a:xfrm>
                            <a:off x="0" y="0"/>
                            <a:ext cx="845820" cy="845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vMerge w:val="restart"/>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NEO average</w:t>
            </w:r>
          </w:p>
          <w:p>
            <w:pPr>
              <w:pStyle w:val="TableContents"/>
              <w:bidi w:val="0"/>
              <w:spacing w:before="0" w:after="20"/>
              <w:jc w:val="left"/>
              <w:rPr>
                <w:rFonts w:ascii="Arial" w:hAnsi="Arial"/>
                <w:b/>
                <w:color w:val="191919"/>
                <w:sz w:val="18"/>
              </w:rPr>
            </w:pPr>
            <w:r>
              <w:rPr>
                <w:rFonts w:ascii="Arial" w:hAnsi="Arial"/>
                <w:b/>
                <w:color w:val="191919"/>
                <w:sz w:val="18"/>
              </w:rPr>
              <w:t>target grant value</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6705" cy="233680"/>
                  <wp:effectExtent l="0" t="0" r="0" b="0"/>
                  <wp:docPr id="252"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0" descr=""/>
                          <pic:cNvPicPr>
                            <a:picLocks noChangeAspect="1" noChangeArrowheads="1"/>
                          </pic:cNvPicPr>
                        </pic:nvPicPr>
                        <pic:blipFill>
                          <a:blip r:embed="rId241"/>
                          <a:stretch>
                            <a:fillRect/>
                          </a:stretch>
                        </pic:blipFill>
                        <pic:spPr bwMode="auto">
                          <a:xfrm>
                            <a:off x="0" y="0"/>
                            <a:ext cx="306705" cy="23368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sz w:val="18"/>
              </w:rPr>
            </w:pPr>
            <w:r>
              <w:rPr>
                <w:color w:val="191919"/>
                <w:sz w:val="18"/>
              </w:rPr>
              <w:t>Shareholder Alignment</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vMerge w:val="restart"/>
            <w:tcBorders>
              <w:bottom w:val="single" w:sz="6" w:space="0" w:color="7DB655"/>
            </w:tcBorders>
            <w:tcMar>
              <w:bottom w:w="60" w:type="dxa"/>
            </w:tcMar>
            <w:vAlign w:val="center"/>
          </w:tcPr>
          <w:p>
            <w:pPr>
              <w:pStyle w:val="TableContents"/>
              <w:bidi w:val="0"/>
              <w:spacing w:before="0" w:after="0"/>
              <w:jc w:val="left"/>
              <w:rPr>
                <w:rFonts w:ascii="Arial" w:hAnsi="Arial"/>
                <w:color w:val="191919"/>
                <w:sz w:val="18"/>
              </w:rPr>
            </w:pPr>
            <w:r>
              <w:rPr>
                <w:rFonts w:ascii="Arial" w:hAnsi="Arial"/>
                <w:color w:val="191919"/>
                <w:sz w:val="18"/>
              </w:rPr>
              <w:t>Cliff vest at end of a three-year period at 0% to 200% of award value based on TSR performance against the Russell 2000 Index</w:t>
            </w:r>
          </w:p>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No voting rights and not eligible to receive dividends (if any) until vesting</w:t>
            </w:r>
          </w:p>
        </w:tc>
      </w:tr>
      <w:tr>
        <w:trPr/>
        <w:tc>
          <w:tcPr>
            <w:tcW w:w="1189" w:type="dxa"/>
            <w:tcBorders/>
            <w:vAlign w:val="center"/>
          </w:tcPr>
          <w:p>
            <w:pPr>
              <w:pStyle w:val="TableContents"/>
              <w:bidi w:val="0"/>
              <w:spacing w:before="0" w:after="283"/>
              <w:jc w:val="left"/>
              <w:rPr>
                <w:sz w:val="4"/>
                <w:szCs w:val="4"/>
              </w:rPr>
            </w:pPr>
            <w:r>
              <w:rPr>
                <w:sz w:val="4"/>
                <w:szCs w:val="4"/>
              </w:rPr>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497" w:type="dxa"/>
            <w:vMerge w:val="continue"/>
            <w:tcBorders>
              <w:bottom w:val="single" w:sz="6" w:space="0" w:color="7DB655"/>
            </w:tcBorders>
            <w:tcMar>
              <w:bottom w:w="60" w:type="dxa"/>
            </w:tcMar>
            <w:vAlign w:val="center"/>
          </w:tcPr>
          <w:p>
            <w:pPr>
              <w:pStyle w:val="Normal"/>
              <w:bidi w:val="0"/>
              <w:jc w:val="left"/>
              <w:rPr/>
            </w:pPr>
            <w:r>
              <w:rPr/>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190" w:type="dxa"/>
            <w:vMerge w:val="continue"/>
            <w:tcBorders>
              <w:bottom w:val="single" w:sz="6" w:space="0" w:color="7DB655"/>
            </w:tcBorders>
            <w:tcMar>
              <w:bottom w:w="60" w:type="dxa"/>
            </w:tcMar>
            <w:vAlign w:val="center"/>
          </w:tcPr>
          <w:p>
            <w:pPr>
              <w:pStyle w:val="Normal"/>
              <w:bidi w:val="0"/>
              <w:jc w:val="left"/>
              <w:rPr/>
            </w:pPr>
            <w:r>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47015" cy="226060"/>
                  <wp:effectExtent l="0" t="0" r="0" b="0"/>
                  <wp:docPr id="253"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1" descr=""/>
                          <pic:cNvPicPr>
                            <a:picLocks noChangeAspect="1" noChangeArrowheads="1"/>
                          </pic:cNvPicPr>
                        </pic:nvPicPr>
                        <pic:blipFill>
                          <a:blip r:embed="rId242"/>
                          <a:stretch>
                            <a:fillRect/>
                          </a:stretch>
                        </pic:blipFill>
                        <pic:spPr bwMode="auto">
                          <a:xfrm>
                            <a:off x="0" y="0"/>
                            <a:ext cx="247015" cy="22606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Drive Future Performance</w:t>
            </w:r>
          </w:p>
          <w:p>
            <w:pPr>
              <w:pStyle w:val="TableContents"/>
              <w:bidi w:val="0"/>
              <w:spacing w:before="0" w:after="20"/>
              <w:jc w:val="left"/>
              <w:rPr/>
            </w:pPr>
            <w:r>
              <w:rPr/>
              <w:t> </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vAlign w:val="center"/>
          </w:tcPr>
          <w:p>
            <w:pPr>
              <w:pStyle w:val="TableContents"/>
              <w:bidi w:val="0"/>
              <w:spacing w:before="0" w:after="283"/>
              <w:jc w:val="left"/>
              <w:rPr>
                <w:sz w:val="4"/>
                <w:szCs w:val="4"/>
              </w:rPr>
            </w:pPr>
            <w:r>
              <w:rPr>
                <w:sz w:val="4"/>
                <w:szCs w:val="4"/>
              </w:rPr>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497" w:type="dxa"/>
            <w:vMerge w:val="continue"/>
            <w:tcBorders>
              <w:bottom w:val="single" w:sz="6" w:space="0" w:color="7DB655"/>
            </w:tcBorders>
            <w:tcMar>
              <w:bottom w:w="60" w:type="dxa"/>
            </w:tcMar>
            <w:vAlign w:val="center"/>
          </w:tcPr>
          <w:p>
            <w:pPr>
              <w:pStyle w:val="Normal"/>
              <w:bidi w:val="0"/>
              <w:jc w:val="left"/>
              <w:rPr/>
            </w:pPr>
            <w:r>
              <w:rPr/>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190" w:type="dxa"/>
            <w:vMerge w:val="continue"/>
            <w:tcBorders>
              <w:bottom w:val="single" w:sz="6" w:space="0" w:color="7DB655"/>
            </w:tcBorders>
            <w:tcMar>
              <w:bottom w:w="60" w:type="dxa"/>
            </w:tcMar>
            <w:vAlign w:val="center"/>
          </w:tcPr>
          <w:p>
            <w:pPr>
              <w:pStyle w:val="Normal"/>
              <w:bidi w:val="0"/>
              <w:jc w:val="left"/>
              <w:rPr/>
            </w:pPr>
            <w:r>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54"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2" descr=""/>
                          <pic:cNvPicPr>
                            <a:picLocks noChangeAspect="1" noChangeArrowheads="1"/>
                          </pic:cNvPicPr>
                        </pic:nvPicPr>
                        <pic:blipFill>
                          <a:blip r:embed="rId243"/>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Attract and Retain</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vAlign w:val="center"/>
          </w:tcPr>
          <w:p>
            <w:pPr>
              <w:pStyle w:val="TableContents"/>
              <w:bidi w:val="0"/>
              <w:spacing w:before="0" w:after="283"/>
              <w:jc w:val="left"/>
              <w:rPr>
                <w:sz w:val="4"/>
                <w:szCs w:val="4"/>
              </w:rPr>
            </w:pPr>
            <w:r>
              <w:rPr>
                <w:sz w:val="4"/>
                <w:szCs w:val="4"/>
              </w:rPr>
            </w:r>
          </w:p>
        </w:tc>
        <w:tc>
          <w:tcPr>
            <w:tcW w:w="1557"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pPr>
            <w:r>
              <w:rPr/>
              <w:t> </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1497" w:type="dxa"/>
            <w:vMerge w:val="restart"/>
            <w:tcBorders>
              <w:bottom w:val="single" w:sz="6" w:space="0" w:color="7DB655"/>
            </w:tcBorders>
            <w:tcMar>
              <w:bottom w:w="60" w:type="dxa"/>
            </w:tcMar>
            <w:vAlign w:val="center"/>
          </w:tcPr>
          <w:p>
            <w:pPr>
              <w:pStyle w:val="TableContents"/>
              <w:bidi w:val="0"/>
              <w:spacing w:before="0" w:after="0"/>
              <w:jc w:val="left"/>
              <w:rPr>
                <w:rFonts w:ascii="Arial" w:hAnsi="Arial"/>
                <w:b/>
                <w:color w:val="191919"/>
                <w:sz w:val="18"/>
              </w:rPr>
            </w:pPr>
            <w:r>
              <w:rPr>
                <w:rFonts w:ascii="Arial" w:hAnsi="Arial"/>
                <w:b/>
                <w:color w:val="191919"/>
                <w:sz w:val="18"/>
              </w:rPr>
              <w:t>Restricted Stock</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45820" cy="845820"/>
                  <wp:effectExtent l="0" t="0" r="0" b="0"/>
                  <wp:docPr id="255"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3" descr=""/>
                          <pic:cNvPicPr>
                            <a:picLocks noChangeAspect="1" noChangeArrowheads="1"/>
                          </pic:cNvPicPr>
                        </pic:nvPicPr>
                        <pic:blipFill>
                          <a:blip r:embed="rId244"/>
                          <a:stretch>
                            <a:fillRect/>
                          </a:stretch>
                        </pic:blipFill>
                        <pic:spPr bwMode="auto">
                          <a:xfrm>
                            <a:off x="0" y="0"/>
                            <a:ext cx="845820" cy="84582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vMerge w:val="restart"/>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8"/>
              </w:rPr>
            </w:pPr>
            <w:r>
              <w:rPr>
                <w:rFonts w:ascii="Arial" w:hAnsi="Arial"/>
                <w:b/>
                <w:color w:val="191919"/>
                <w:sz w:val="18"/>
              </w:rPr>
              <w:t>NEO average</w:t>
            </w:r>
          </w:p>
          <w:p>
            <w:pPr>
              <w:pStyle w:val="TableContents"/>
              <w:bidi w:val="0"/>
              <w:spacing w:before="0" w:after="20"/>
              <w:jc w:val="left"/>
              <w:rPr>
                <w:rFonts w:ascii="Arial" w:hAnsi="Arial"/>
                <w:b/>
                <w:color w:val="191919"/>
                <w:sz w:val="18"/>
              </w:rPr>
            </w:pPr>
            <w:r>
              <w:rPr>
                <w:rFonts w:ascii="Arial" w:hAnsi="Arial"/>
                <w:b/>
                <w:color w:val="191919"/>
                <w:sz w:val="18"/>
              </w:rPr>
              <w:t>target grant value</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lineRule="atLeast" w:line="420" w:before="0" w:after="0"/>
              <w:jc w:val="center"/>
              <w:rPr/>
            </w:pPr>
            <w:r>
              <w:rPr/>
              <w:drawing>
                <wp:inline distT="0" distB="0" distL="0" distR="0">
                  <wp:extent cx="306705" cy="233680"/>
                  <wp:effectExtent l="0" t="0" r="0" b="0"/>
                  <wp:docPr id="256"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4" descr=""/>
                          <pic:cNvPicPr>
                            <a:picLocks noChangeAspect="1" noChangeArrowheads="1"/>
                          </pic:cNvPicPr>
                        </pic:nvPicPr>
                        <pic:blipFill>
                          <a:blip r:embed="rId245"/>
                          <a:stretch>
                            <a:fillRect/>
                          </a:stretch>
                        </pic:blipFill>
                        <pic:spPr bwMode="auto">
                          <a:xfrm>
                            <a:off x="0" y="0"/>
                            <a:ext cx="306705" cy="23368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Shareholder Alignment</w:t>
            </w:r>
          </w:p>
        </w:tc>
        <w:tc>
          <w:tcPr>
            <w:tcW w:w="60" w:type="dxa"/>
            <w:vMerge w:val="restart"/>
            <w:tcBorders/>
            <w:vAlign w:val="center"/>
          </w:tcPr>
          <w:p>
            <w:pPr>
              <w:pStyle w:val="TableContents"/>
              <w:bidi w:val="0"/>
              <w:spacing w:before="0" w:after="283"/>
              <w:jc w:val="left"/>
              <w:rPr/>
            </w:pPr>
            <w:r>
              <w:rPr/>
              <w:t> </w:t>
            </w:r>
          </w:p>
        </w:tc>
        <w:tc>
          <w:tcPr>
            <w:tcW w:w="3270" w:type="dxa"/>
            <w:vMerge w:val="restart"/>
            <w:tcBorders/>
            <w:vAlign w:val="center"/>
          </w:tcPr>
          <w:p>
            <w:pPr>
              <w:pStyle w:val="TableContents"/>
              <w:bidi w:val="0"/>
              <w:spacing w:before="0" w:after="0"/>
              <w:jc w:val="left"/>
              <w:rPr>
                <w:rFonts w:ascii="Arial" w:hAnsi="Arial"/>
                <w:color w:val="191919"/>
                <w:sz w:val="18"/>
              </w:rPr>
            </w:pPr>
            <w:r>
              <w:rPr>
                <w:rFonts w:ascii="Arial" w:hAnsi="Arial"/>
                <w:color w:val="191919"/>
                <w:sz w:val="18"/>
              </w:rPr>
              <w:t>Vests ratably over a three-year period</w:t>
            </w:r>
          </w:p>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Has voting rights and is eligible to receive dividends (if any) from date of grant</w:t>
            </w:r>
          </w:p>
        </w:tc>
      </w:tr>
      <w:tr>
        <w:trPr/>
        <w:tc>
          <w:tcPr>
            <w:tcW w:w="1189" w:type="dxa"/>
            <w:tcBorders/>
            <w:vAlign w:val="center"/>
          </w:tcPr>
          <w:p>
            <w:pPr>
              <w:pStyle w:val="TableContents"/>
              <w:bidi w:val="0"/>
              <w:spacing w:before="0" w:after="0"/>
              <w:jc w:val="left"/>
              <w:rPr/>
            </w:pPr>
            <w:r>
              <w:rPr/>
              <w:t> </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497" w:type="dxa"/>
            <w:vMerge w:val="continue"/>
            <w:tcBorders>
              <w:bottom w:val="single" w:sz="6" w:space="0" w:color="7DB655"/>
            </w:tcBorders>
            <w:tcMar>
              <w:bottom w:w="60" w:type="dxa"/>
            </w:tcMar>
            <w:vAlign w:val="center"/>
          </w:tcPr>
          <w:p>
            <w:pPr>
              <w:pStyle w:val="Normal"/>
              <w:bidi w:val="0"/>
              <w:jc w:val="left"/>
              <w:rPr/>
            </w:pPr>
            <w:r>
              <w:rPr/>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190" w:type="dxa"/>
            <w:vMerge w:val="continue"/>
            <w:tcBorders>
              <w:bottom w:val="single" w:sz="6" w:space="0" w:color="7DB655"/>
            </w:tcBorders>
            <w:tcMar>
              <w:bottom w:w="60" w:type="dxa"/>
            </w:tcMar>
            <w:vAlign w:val="center"/>
          </w:tcPr>
          <w:p>
            <w:pPr>
              <w:pStyle w:val="Normal"/>
              <w:bidi w:val="0"/>
              <w:jc w:val="left"/>
              <w:rPr/>
            </w:pPr>
            <w:r>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47015" cy="226060"/>
                  <wp:effectExtent l="0" t="0" r="0" b="0"/>
                  <wp:docPr id="257"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5" descr=""/>
                          <pic:cNvPicPr>
                            <a:picLocks noChangeAspect="1" noChangeArrowheads="1"/>
                          </pic:cNvPicPr>
                        </pic:nvPicPr>
                        <pic:blipFill>
                          <a:blip r:embed="rId246"/>
                          <a:stretch>
                            <a:fillRect/>
                          </a:stretch>
                        </pic:blipFill>
                        <pic:spPr bwMode="auto">
                          <a:xfrm>
                            <a:off x="0" y="0"/>
                            <a:ext cx="247015" cy="22606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Drive Future Performance</w:t>
            </w:r>
          </w:p>
        </w:tc>
        <w:tc>
          <w:tcPr>
            <w:tcW w:w="60" w:type="dxa"/>
            <w:vMerge w:val="continue"/>
            <w:tcBorders/>
            <w:vAlign w:val="center"/>
          </w:tcPr>
          <w:p>
            <w:pPr>
              <w:pStyle w:val="Normal"/>
              <w:bidi w:val="0"/>
              <w:jc w:val="left"/>
              <w:rPr/>
            </w:pPr>
            <w:r>
              <w:rPr/>
            </w:r>
          </w:p>
        </w:tc>
        <w:tc>
          <w:tcPr>
            <w:tcW w:w="3270" w:type="dxa"/>
            <w:vMerge w:val="continue"/>
            <w:tcBorders/>
            <w:vAlign w:val="center"/>
          </w:tcPr>
          <w:p>
            <w:pPr>
              <w:pStyle w:val="Normal"/>
              <w:bidi w:val="0"/>
              <w:jc w:val="left"/>
              <w:rPr/>
            </w:pPr>
            <w:r>
              <w:rPr/>
            </w:r>
          </w:p>
        </w:tc>
      </w:tr>
      <w:tr>
        <w:trPr/>
        <w:tc>
          <w:tcPr>
            <w:tcW w:w="1189"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497" w:type="dxa"/>
            <w:vMerge w:val="continue"/>
            <w:tcBorders>
              <w:bottom w:val="single" w:sz="6" w:space="0" w:color="7DB655"/>
            </w:tcBorders>
            <w:tcMar>
              <w:bottom w:w="60" w:type="dxa"/>
            </w:tcMar>
            <w:vAlign w:val="center"/>
          </w:tcPr>
          <w:p>
            <w:pPr>
              <w:pStyle w:val="Normal"/>
              <w:bidi w:val="0"/>
              <w:jc w:val="left"/>
              <w:rPr/>
            </w:pPr>
            <w:r>
              <w:rPr/>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1190" w:type="dxa"/>
            <w:vMerge w:val="continue"/>
            <w:tcBorders>
              <w:bottom w:val="single" w:sz="6" w:space="0" w:color="7DB655"/>
            </w:tcBorders>
            <w:tcMar>
              <w:bottom w:w="60" w:type="dxa"/>
            </w:tcMar>
            <w:vAlign w:val="center"/>
          </w:tcPr>
          <w:p>
            <w:pPr>
              <w:pStyle w:val="Normal"/>
              <w:bidi w:val="0"/>
              <w:jc w:val="left"/>
              <w:rPr/>
            </w:pPr>
            <w:r>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58"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6" descr=""/>
                          <pic:cNvPicPr>
                            <a:picLocks noChangeAspect="1" noChangeArrowheads="1"/>
                          </pic:cNvPicPr>
                        </pic:nvPicPr>
                        <pic:blipFill>
                          <a:blip r:embed="rId247"/>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Attract and Retain</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tcBorders>
              <w:bottom w:val="single" w:sz="6" w:space="0" w:color="7DB655"/>
            </w:tcBorders>
            <w:tcMar>
              <w:bottom w:w="28" w:type="dxa"/>
            </w:tcMar>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sz w:val="4"/>
                <w:szCs w:val="4"/>
              </w:rPr>
            </w:pPr>
            <w:r>
              <w:rPr>
                <w:sz w:val="4"/>
                <w:szCs w:val="4"/>
              </w:rPr>
            </w:r>
          </w:p>
        </w:tc>
        <w:tc>
          <w:tcPr>
            <w:tcW w:w="2807" w:type="dxa"/>
            <w:gridSpan w:val="4"/>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rFonts w:ascii="Arial" w:hAnsi="Arial"/>
                <w:b/>
                <w:color w:val="191919"/>
                <w:sz w:val="18"/>
              </w:rPr>
            </w:pPr>
            <w:r>
              <w:rPr>
                <w:rFonts w:ascii="Arial" w:hAnsi="Arial"/>
                <w:b/>
                <w:color w:val="191919"/>
                <w:sz w:val="18"/>
              </w:rPr>
              <w:t>Other</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747" w:type="dxa"/>
            <w:gridSpan w:val="3"/>
            <w:tcBorders>
              <w:bottom w:val="single" w:sz="6" w:space="0" w:color="7DB655"/>
            </w:tcBorders>
            <w:tcMar>
              <w:bottom w:w="60" w:type="dxa"/>
            </w:tcMar>
            <w:vAlign w:val="center"/>
          </w:tcPr>
          <w:p>
            <w:pPr>
              <w:pStyle w:val="TableContents"/>
              <w:bidi w:val="0"/>
              <w:spacing w:before="0" w:after="0"/>
              <w:jc w:val="left"/>
              <w:rPr>
                <w:rFonts w:ascii="Arial" w:hAnsi="Arial"/>
                <w:b/>
                <w:color w:val="191919"/>
                <w:sz w:val="18"/>
              </w:rPr>
            </w:pPr>
            <w:r>
              <w:rPr>
                <w:rFonts w:ascii="Arial" w:hAnsi="Arial"/>
                <w:b/>
                <w:color w:val="191919"/>
                <w:sz w:val="18"/>
              </w:rPr>
              <w:t>Health, Welfare and Retirement</w:t>
            </w:r>
          </w:p>
          <w:p>
            <w:pPr>
              <w:pStyle w:val="TableContents"/>
              <w:bidi w:val="0"/>
              <w:spacing w:before="0" w:after="20"/>
              <w:jc w:val="left"/>
              <w:rPr>
                <w:rFonts w:ascii="Arial" w:hAnsi="Arial"/>
                <w:b/>
                <w:color w:val="191919"/>
                <w:sz w:val="18"/>
              </w:rPr>
            </w:pPr>
            <w:r>
              <w:rPr>
                <w:rFonts w:ascii="Arial" w:hAnsi="Arial"/>
                <w:b/>
                <w:color w:val="191919"/>
                <w:sz w:val="18"/>
              </w:rPr>
              <w:t>Programs</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59"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7" descr=""/>
                          <pic:cNvPicPr>
                            <a:picLocks noChangeAspect="1" noChangeArrowheads="1"/>
                          </pic:cNvPicPr>
                        </pic:nvPicPr>
                        <pic:blipFill>
                          <a:blip r:embed="rId248"/>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Attract and Retain</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tcBorders>
              <w:bottom w:val="single" w:sz="6" w:space="0" w:color="7DB655"/>
            </w:tcBorders>
            <w:tcMar>
              <w:bottom w:w="60" w:type="dxa"/>
            </w:tcMar>
            <w:vAlign w:val="center"/>
          </w:tcPr>
          <w:p>
            <w:pPr>
              <w:pStyle w:val="TableContents"/>
              <w:bidi w:val="0"/>
              <w:spacing w:before="0" w:after="0"/>
              <w:jc w:val="left"/>
              <w:rPr>
                <w:rFonts w:ascii="Arial" w:hAnsi="Arial"/>
                <w:color w:val="191919"/>
                <w:sz w:val="18"/>
              </w:rPr>
            </w:pPr>
            <w:r>
              <w:rPr>
                <w:rFonts w:ascii="Arial" w:hAnsi="Arial"/>
                <w:color w:val="191919"/>
                <w:sz w:val="18"/>
              </w:rPr>
              <w:t>Executives participate in the same benefit programs as other employees, including:</w:t>
            </w:r>
          </w:p>
          <w:p>
            <w:pPr>
              <w:pStyle w:val="TableContents"/>
              <w:bidi w:val="0"/>
              <w:spacing w:before="0" w:after="0"/>
              <w:jc w:val="left"/>
              <w:rPr>
                <w:color w:val="191919"/>
              </w:rPr>
            </w:pPr>
            <w:r>
              <w:rPr>
                <w:color w:val="0A7DAC"/>
              </w:rPr>
              <w:t>•</w:t>
            </w:r>
            <w:r>
              <w:rPr>
                <w:color w:val="191919"/>
              </w:rPr>
              <w:t>  </w:t>
            </w:r>
            <w:r>
              <w:rPr>
                <w:rFonts w:ascii="Arial" w:hAnsi="Arial"/>
                <w:color w:val="191919"/>
                <w:sz w:val="18"/>
              </w:rPr>
              <w:t>Employee Stock Ownership Plan, through which approximately 3% of our Company is owned by our employees, aligning our collective interests</w:t>
            </w:r>
          </w:p>
          <w:p>
            <w:pPr>
              <w:pStyle w:val="TableContents"/>
              <w:bidi w:val="0"/>
              <w:spacing w:before="0" w:after="20"/>
              <w:jc w:val="left"/>
              <w:rPr>
                <w:color w:val="191919"/>
              </w:rPr>
            </w:pPr>
            <w:r>
              <w:rPr>
                <w:color w:val="0A7DAC"/>
              </w:rPr>
              <w:t>•</w:t>
            </w:r>
            <w:r>
              <w:rPr>
                <w:color w:val="191919"/>
              </w:rPr>
              <w:t>  </w:t>
            </w:r>
            <w:r>
              <w:rPr>
                <w:rFonts w:ascii="Arial" w:hAnsi="Arial"/>
                <w:color w:val="191919"/>
                <w:sz w:val="18"/>
              </w:rPr>
              <w:t>Qualified 401(k) Plan</w:t>
            </w:r>
          </w:p>
        </w:tc>
      </w:tr>
      <w:tr>
        <w:trPr/>
        <w:tc>
          <w:tcPr>
            <w:tcW w:w="1189" w:type="dxa"/>
            <w:tcBorders/>
            <w:vAlign w:val="center"/>
          </w:tcPr>
          <w:p>
            <w:pPr>
              <w:pStyle w:val="TableContents"/>
              <w:bidi w:val="0"/>
              <w:spacing w:before="0" w:after="283"/>
              <w:jc w:val="left"/>
              <w:rPr>
                <w:sz w:val="4"/>
                <w:szCs w:val="4"/>
              </w:rPr>
            </w:pPr>
            <w:r>
              <w:rPr>
                <w:sz w:val="4"/>
                <w:szCs w:val="4"/>
              </w:rPr>
            </w:r>
          </w:p>
        </w:tc>
        <w:tc>
          <w:tcPr>
            <w:tcW w:w="2807" w:type="dxa"/>
            <w:gridSpan w:val="4"/>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7" w:type="dxa"/>
            <w:gridSpan w:val="3"/>
            <w:tcBorders/>
            <w:vAlign w:val="center"/>
          </w:tcPr>
          <w:p>
            <w:pPr>
              <w:pStyle w:val="TableContents"/>
              <w:bidi w:val="0"/>
              <w:spacing w:before="0" w:after="283"/>
              <w:jc w:val="left"/>
              <w:rPr>
                <w:b/>
                <w:color w:val="191919"/>
              </w:rPr>
            </w:pPr>
            <w:r>
              <w:rPr>
                <w:b/>
                <w:color w:val="191919"/>
              </w:rPr>
              <w:t>Severance Benefits</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6705" cy="233680"/>
                  <wp:effectExtent l="0" t="0" r="0" b="0"/>
                  <wp:docPr id="260"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8" descr=""/>
                          <pic:cNvPicPr>
                            <a:picLocks noChangeAspect="1" noChangeArrowheads="1"/>
                          </pic:cNvPicPr>
                        </pic:nvPicPr>
                        <pic:blipFill>
                          <a:blip r:embed="rId249"/>
                          <a:stretch>
                            <a:fillRect/>
                          </a:stretch>
                        </pic:blipFill>
                        <pic:spPr bwMode="auto">
                          <a:xfrm>
                            <a:off x="0" y="0"/>
                            <a:ext cx="306705" cy="23368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Shareholder Alignment</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vMerge w:val="restart"/>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Standardized benefits in the event of termination without cause by the Company or for good reason by the executive</w:t>
            </w:r>
          </w:p>
        </w:tc>
      </w:tr>
      <w:tr>
        <w:trPr/>
        <w:tc>
          <w:tcPr>
            <w:tcW w:w="1189"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97"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61"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9" descr=""/>
                          <pic:cNvPicPr>
                            <a:picLocks noChangeAspect="1" noChangeArrowheads="1"/>
                          </pic:cNvPicPr>
                        </pic:nvPicPr>
                        <pic:blipFill>
                          <a:blip r:embed="rId250"/>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Attract and Retain</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vAlign w:val="center"/>
          </w:tcPr>
          <w:p>
            <w:pPr>
              <w:pStyle w:val="TableContents"/>
              <w:bidi w:val="0"/>
              <w:spacing w:before="0" w:after="283"/>
              <w:jc w:val="left"/>
              <w:rPr>
                <w:sz w:val="4"/>
                <w:szCs w:val="4"/>
              </w:rPr>
            </w:pPr>
            <w:r>
              <w:rPr>
                <w:sz w:val="4"/>
                <w:szCs w:val="4"/>
              </w:rPr>
            </w:r>
          </w:p>
        </w:tc>
        <w:tc>
          <w:tcPr>
            <w:tcW w:w="2807" w:type="dxa"/>
            <w:gridSpan w:val="4"/>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7" w:type="dxa"/>
            <w:gridSpan w:val="3"/>
            <w:tcBorders/>
            <w:vAlign w:val="center"/>
          </w:tcPr>
          <w:p>
            <w:pPr>
              <w:pStyle w:val="TableContents"/>
              <w:bidi w:val="0"/>
              <w:spacing w:before="0" w:after="283"/>
              <w:jc w:val="left"/>
              <w:rPr>
                <w:b/>
                <w:color w:val="191919"/>
                <w:sz w:val="18"/>
              </w:rPr>
            </w:pPr>
            <w:r>
              <w:rPr>
                <w:b/>
                <w:color w:val="191919"/>
                <w:sz w:val="18"/>
              </w:rPr>
              <w:t>Change-in-Control Benefits</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6705" cy="233680"/>
                  <wp:effectExtent l="0" t="0" r="0" b="0"/>
                  <wp:docPr id="262"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0" descr=""/>
                          <pic:cNvPicPr>
                            <a:picLocks noChangeAspect="1" noChangeArrowheads="1"/>
                          </pic:cNvPicPr>
                        </pic:nvPicPr>
                        <pic:blipFill>
                          <a:blip r:embed="rId251"/>
                          <a:stretch>
                            <a:fillRect/>
                          </a:stretch>
                        </pic:blipFill>
                        <pic:spPr bwMode="auto">
                          <a:xfrm>
                            <a:off x="0" y="0"/>
                            <a:ext cx="306705" cy="23368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sz w:val="18"/>
              </w:rPr>
            </w:pPr>
            <w:r>
              <w:rPr>
                <w:color w:val="191919"/>
                <w:sz w:val="18"/>
              </w:rPr>
              <w:t>Shareholder Alignment</w:t>
            </w:r>
          </w:p>
        </w:tc>
        <w:tc>
          <w:tcPr>
            <w:tcW w:w="60" w:type="dxa"/>
            <w:vMerge w:val="restart"/>
            <w:tcBorders>
              <w:bottom w:val="single" w:sz="6" w:space="0" w:color="7DB655"/>
            </w:tcBorders>
            <w:tcMar>
              <w:bottom w:w="28" w:type="dxa"/>
            </w:tcMar>
            <w:vAlign w:val="center"/>
          </w:tcPr>
          <w:p>
            <w:pPr>
              <w:pStyle w:val="TableContents"/>
              <w:bidi w:val="0"/>
              <w:spacing w:before="0" w:after="283"/>
              <w:jc w:val="left"/>
              <w:rPr/>
            </w:pPr>
            <w:r>
              <w:rPr/>
              <w:t> </w:t>
            </w:r>
          </w:p>
        </w:tc>
        <w:tc>
          <w:tcPr>
            <w:tcW w:w="3270" w:type="dxa"/>
            <w:vMerge w:val="restart"/>
            <w:tcBorders>
              <w:bottom w:val="single" w:sz="6" w:space="0" w:color="7DB655"/>
            </w:tcBorders>
            <w:tcMar>
              <w:bottom w:w="60" w:type="dxa"/>
            </w:tcMar>
            <w:vAlign w:val="center"/>
          </w:tcPr>
          <w:p>
            <w:pPr>
              <w:pStyle w:val="TableContents"/>
              <w:bidi w:val="0"/>
              <w:spacing w:before="0" w:after="283"/>
              <w:jc w:val="left"/>
              <w:rPr>
                <w:color w:val="191919"/>
                <w:sz w:val="18"/>
              </w:rPr>
            </w:pPr>
            <w:r>
              <w:rPr>
                <w:color w:val="191919"/>
                <w:sz w:val="18"/>
              </w:rPr>
              <w:t>Standardized “double trigger” severance benefits for executive officers in the event of termination following a change in control</w:t>
            </w:r>
          </w:p>
        </w:tc>
      </w:tr>
      <w:tr>
        <w:trPr/>
        <w:tc>
          <w:tcPr>
            <w:tcW w:w="1189"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97"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73050" cy="273050"/>
                  <wp:effectExtent l="0" t="0" r="0" b="0"/>
                  <wp:docPr id="263"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1" descr=""/>
                          <pic:cNvPicPr>
                            <a:picLocks noChangeAspect="1" noChangeArrowheads="1"/>
                          </pic:cNvPicPr>
                        </pic:nvPicPr>
                        <pic:blipFill>
                          <a:blip r:embed="rId252"/>
                          <a:stretch>
                            <a:fillRect/>
                          </a:stretch>
                        </pic:blipFill>
                        <pic:spPr bwMode="auto">
                          <a:xfrm>
                            <a:off x="0" y="0"/>
                            <a:ext cx="273050" cy="27305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Attract and Retain</w:t>
            </w:r>
          </w:p>
        </w:tc>
        <w:tc>
          <w:tcPr>
            <w:tcW w:w="60" w:type="dxa"/>
            <w:vMerge w:val="continue"/>
            <w:tcBorders>
              <w:bottom w:val="single" w:sz="6" w:space="0" w:color="7DB655"/>
            </w:tcBorders>
            <w:tcMar>
              <w:bottom w:w="28" w:type="dxa"/>
            </w:tcMar>
            <w:vAlign w:val="center"/>
          </w:tcPr>
          <w:p>
            <w:pPr>
              <w:pStyle w:val="Normal"/>
              <w:bidi w:val="0"/>
              <w:jc w:val="left"/>
              <w:rPr/>
            </w:pPr>
            <w:r>
              <w:rPr/>
            </w:r>
          </w:p>
        </w:tc>
        <w:tc>
          <w:tcPr>
            <w:tcW w:w="3270" w:type="dxa"/>
            <w:vMerge w:val="continue"/>
            <w:tcBorders>
              <w:bottom w:val="single" w:sz="6" w:space="0" w:color="7DB655"/>
            </w:tcBorders>
            <w:tcMar>
              <w:bottom w:w="60" w:type="dxa"/>
            </w:tcMar>
            <w:vAlign w:val="center"/>
          </w:tcPr>
          <w:p>
            <w:pPr>
              <w:pStyle w:val="Normal"/>
              <w:bidi w:val="0"/>
              <w:jc w:val="left"/>
              <w:rPr/>
            </w:pPr>
            <w:r>
              <w:rPr/>
            </w:r>
          </w:p>
        </w:tc>
      </w:tr>
      <w:tr>
        <w:trPr/>
        <w:tc>
          <w:tcPr>
            <w:tcW w:w="1189" w:type="dxa"/>
            <w:tcBorders/>
            <w:vAlign w:val="center"/>
          </w:tcPr>
          <w:p>
            <w:pPr>
              <w:pStyle w:val="TableContents"/>
              <w:bidi w:val="0"/>
              <w:spacing w:before="0" w:after="283"/>
              <w:jc w:val="left"/>
              <w:rPr>
                <w:sz w:val="4"/>
                <w:szCs w:val="4"/>
              </w:rPr>
            </w:pPr>
            <w:r>
              <w:rPr>
                <w:sz w:val="4"/>
                <w:szCs w:val="4"/>
              </w:rPr>
            </w:r>
          </w:p>
        </w:tc>
        <w:tc>
          <w:tcPr>
            <w:tcW w:w="2807" w:type="dxa"/>
            <w:gridSpan w:val="4"/>
            <w:tcBorders/>
            <w:vAlign w:val="center"/>
          </w:tcPr>
          <w:p>
            <w:pPr>
              <w:pStyle w:val="TableContents"/>
              <w:bidi w:val="0"/>
              <w:spacing w:before="0" w:after="283"/>
              <w:jc w:val="left"/>
              <w:rPr>
                <w:sz w:val="4"/>
                <w:szCs w:val="4"/>
              </w:rPr>
            </w:pPr>
            <w:r>
              <w:rPr>
                <w:sz w:val="4"/>
                <w:szCs w:val="4"/>
              </w:rPr>
            </w:r>
          </w:p>
        </w:tc>
        <w:tc>
          <w:tcPr>
            <w:tcW w:w="547" w:type="dxa"/>
            <w:gridSpan w:val="2"/>
            <w:tcBorders/>
            <w:vAlign w:val="center"/>
          </w:tcPr>
          <w:p>
            <w:pPr>
              <w:pStyle w:val="TableContents"/>
              <w:bidi w:val="0"/>
              <w:spacing w:before="0" w:after="283"/>
              <w:jc w:val="left"/>
              <w:rPr>
                <w:sz w:val="4"/>
                <w:szCs w:val="4"/>
              </w:rPr>
            </w:pPr>
            <w:r>
              <w:rPr>
                <w:sz w:val="4"/>
                <w:szCs w:val="4"/>
              </w:rPr>
            </w:r>
          </w:p>
        </w:tc>
        <w:tc>
          <w:tcPr>
            <w:tcW w:w="2332" w:type="dxa"/>
            <w:gridSpan w:val="2"/>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1189" w:type="dxa"/>
            <w:tcBorders>
              <w:bottom w:val="single" w:sz="8"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2747" w:type="dxa"/>
            <w:gridSpan w:val="3"/>
            <w:tcBorders>
              <w:bottom w:val="single" w:sz="8" w:space="0" w:color="7DB655"/>
            </w:tcBorders>
            <w:tcMar>
              <w:bottom w:w="60" w:type="dxa"/>
            </w:tcMar>
            <w:vAlign w:val="center"/>
          </w:tcPr>
          <w:p>
            <w:pPr>
              <w:pStyle w:val="TableContents"/>
              <w:bidi w:val="0"/>
              <w:spacing w:before="0" w:after="283"/>
              <w:jc w:val="left"/>
              <w:rPr>
                <w:b/>
                <w:color w:val="191919"/>
              </w:rPr>
            </w:pPr>
            <w:r>
              <w:rPr>
                <w:b/>
                <w:color w:val="191919"/>
              </w:rPr>
              <w:t>Other Benefits</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487" w:type="dxa"/>
            <w:tcBorders>
              <w:bottom w:val="single" w:sz="8"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2272" w:type="dxa"/>
            <w:tcBorders>
              <w:bottom w:val="single" w:sz="8"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3270" w:type="dxa"/>
            <w:tcBorders>
              <w:bottom w:val="single" w:sz="8" w:space="0" w:color="7DB655"/>
            </w:tcBorders>
            <w:tcMar>
              <w:bottom w:w="60" w:type="dxa"/>
            </w:tcMar>
            <w:vAlign w:val="center"/>
          </w:tcPr>
          <w:p>
            <w:pPr>
              <w:pStyle w:val="TableContents"/>
              <w:bidi w:val="0"/>
              <w:spacing w:before="0" w:after="283"/>
              <w:jc w:val="left"/>
              <w:rPr>
                <w:color w:val="191919"/>
              </w:rPr>
            </w:pPr>
            <w:r>
              <w:rPr>
                <w:color w:val="191919"/>
              </w:rPr>
              <w:t>No perquisites offered, other than those generally provided to all employees</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64"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52" descr=""/>
                          <pic:cNvPicPr>
                            <a:picLocks noChangeAspect="1" noChangeArrowheads="1"/>
                          </pic:cNvPicPr>
                        </pic:nvPicPr>
                        <pic:blipFill>
                          <a:blip r:embed="rId25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As discussed in further detail below, one of our compensation program principles states that a majority of an executive’s total compensation should be performance-based and “at risk,” or dependent upon the Company’s and the individual’s performance. As shown below, for fiscal 2026, our CEO had 84.7% of his target pay “at risk,” and our other NEOs had on average 66.6% of their target pay “at risk.”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85180" cy="1784350"/>
            <wp:effectExtent l="0" t="0" r="0" b="0"/>
            <wp:docPr id="265"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53" descr=""/>
                    <pic:cNvPicPr>
                      <a:picLocks noChangeAspect="1" noChangeArrowheads="1"/>
                    </pic:cNvPicPr>
                  </pic:nvPicPr>
                  <pic:blipFill>
                    <a:blip r:embed="rId254"/>
                    <a:stretch>
                      <a:fillRect/>
                    </a:stretch>
                  </pic:blipFill>
                  <pic:spPr bwMode="auto">
                    <a:xfrm>
                      <a:off x="0" y="0"/>
                      <a:ext cx="5885180" cy="1784350"/>
                    </a:xfrm>
                    <a:prstGeom prst="rect">
                      <a:avLst/>
                    </a:prstGeom>
                  </pic:spPr>
                </pic:pic>
              </a:graphicData>
            </a:graphic>
          </wp:inline>
        </w:drawing>
      </w:r>
      <w:r>
        <w:rPr/>
        <w:t xml:space="preserve"> </w:t>
      </w:r>
    </w:p>
    <w:p>
      <w:pPr>
        <w:pStyle w:val="TextBody"/>
        <w:bidi w:val="0"/>
        <w:spacing w:before="360" w:after="0"/>
        <w:jc w:val="left"/>
        <w:rPr>
          <w:rFonts w:ascii="Arial" w:hAnsi="Arial"/>
          <w:b/>
          <w:color w:val="0A7DAC"/>
          <w:sz w:val="25"/>
        </w:rPr>
      </w:pPr>
      <w:r>
        <w:rPr>
          <w:rFonts w:ascii="Arial" w:hAnsi="Arial"/>
          <w:b/>
          <w:color w:val="0A7DAC"/>
          <w:sz w:val="25"/>
        </w:rPr>
        <w:t xml:space="preserve">Pay for Performance Alignment </w:t>
      </w:r>
    </w:p>
    <w:p>
      <w:pPr>
        <w:pStyle w:val="TextBody"/>
        <w:bidi w:val="0"/>
        <w:spacing w:before="240" w:after="0"/>
        <w:jc w:val="left"/>
        <w:rPr>
          <w:rFonts w:ascii="Arial" w:hAnsi="Arial"/>
          <w:color w:val="191919"/>
          <w:sz w:val="18"/>
        </w:rPr>
      </w:pPr>
      <w:r>
        <w:rPr>
          <w:rFonts w:ascii="Arial" w:hAnsi="Arial"/>
          <w:color w:val="191919"/>
          <w:sz w:val="18"/>
        </w:rPr>
        <w:t xml:space="preserve">The following charts illustrate the relationship between our Company performance and CEO pay. </w:t>
      </w:r>
    </w:p>
    <w:p>
      <w:pPr>
        <w:pStyle w:val="TextBody"/>
        <w:bidi w:val="0"/>
        <w:spacing w:before="0" w:after="0"/>
        <w:jc w:val="left"/>
        <w:rPr/>
      </w:pPr>
      <w:r>
        <w:rPr/>
        <w:t> </w:t>
      </w:r>
    </w:p>
    <w:p>
      <w:pPr>
        <w:pStyle w:val="TextBody"/>
        <w:bidi w:val="0"/>
        <w:spacing w:before="0" w:after="0"/>
        <w:jc w:val="left"/>
        <w:rPr/>
      </w:pPr>
      <w:r>
        <w:rPr/>
        <w:t> </w:t>
      </w:r>
    </w:p>
    <w:tbl>
      <w:tblPr>
        <w:tblW w:w="7343" w:type="dxa"/>
        <w:jc w:val="left"/>
        <w:tblInd w:w="0" w:type="dxa"/>
        <w:tblLayout w:type="fixed"/>
        <w:tblCellMar>
          <w:top w:w="0" w:type="dxa"/>
          <w:left w:w="0" w:type="dxa"/>
          <w:bottom w:w="0" w:type="dxa"/>
          <w:right w:w="0" w:type="dxa"/>
        </w:tblCellMar>
      </w:tblPr>
      <w:tblGrid>
        <w:gridCol w:w="2355"/>
        <w:gridCol w:w="120"/>
        <w:gridCol w:w="2393"/>
        <w:gridCol w:w="120"/>
        <w:gridCol w:w="2355"/>
      </w:tblGrid>
      <w:tr>
        <w:trPr/>
        <w:tc>
          <w:tcPr>
            <w:tcW w:w="2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jc w:val="center"/>
              <w:rPr/>
            </w:pPr>
            <w:r>
              <w:rPr/>
              <w:drawing>
                <wp:inline distT="0" distB="0" distL="0" distR="0">
                  <wp:extent cx="1447800" cy="1949450"/>
                  <wp:effectExtent l="0" t="0" r="0" b="0"/>
                  <wp:docPr id="266"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4" descr=""/>
                          <pic:cNvPicPr>
                            <a:picLocks noChangeAspect="1" noChangeArrowheads="1"/>
                          </pic:cNvPicPr>
                        </pic:nvPicPr>
                        <pic:blipFill>
                          <a:blip r:embed="rId255"/>
                          <a:stretch>
                            <a:fillRect/>
                          </a:stretch>
                        </pic:blipFill>
                        <pic:spPr bwMode="auto">
                          <a:xfrm>
                            <a:off x="0" y="0"/>
                            <a:ext cx="1447800" cy="19494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93" w:type="dxa"/>
            <w:tcBorders/>
            <w:vAlign w:val="center"/>
          </w:tcPr>
          <w:p>
            <w:pPr>
              <w:pStyle w:val="TableContents"/>
              <w:bidi w:val="0"/>
              <w:spacing w:before="0" w:after="283"/>
              <w:jc w:val="center"/>
              <w:rPr/>
            </w:pPr>
            <w:r>
              <w:rPr/>
              <w:drawing>
                <wp:inline distT="0" distB="0" distL="0" distR="0">
                  <wp:extent cx="1481455" cy="1950085"/>
                  <wp:effectExtent l="0" t="0" r="0" b="0"/>
                  <wp:docPr id="267"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5" descr=""/>
                          <pic:cNvPicPr>
                            <a:picLocks noChangeAspect="1" noChangeArrowheads="1"/>
                          </pic:cNvPicPr>
                        </pic:nvPicPr>
                        <pic:blipFill>
                          <a:blip r:embed="rId256"/>
                          <a:stretch>
                            <a:fillRect/>
                          </a:stretch>
                        </pic:blipFill>
                        <pic:spPr bwMode="auto">
                          <a:xfrm>
                            <a:off x="0" y="0"/>
                            <a:ext cx="1481455" cy="195008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355" w:type="dxa"/>
            <w:tcBorders/>
            <w:vAlign w:val="center"/>
          </w:tcPr>
          <w:p>
            <w:pPr>
              <w:pStyle w:val="TableContents"/>
              <w:bidi w:val="0"/>
              <w:spacing w:before="0" w:after="283"/>
              <w:jc w:val="center"/>
              <w:rPr/>
            </w:pPr>
            <w:r>
              <w:rPr/>
              <w:drawing>
                <wp:inline distT="0" distB="0" distL="0" distR="0">
                  <wp:extent cx="1447800" cy="1950085"/>
                  <wp:effectExtent l="0" t="0" r="0" b="0"/>
                  <wp:docPr id="268"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6" descr=""/>
                          <pic:cNvPicPr>
                            <a:picLocks noChangeAspect="1" noChangeArrowheads="1"/>
                          </pic:cNvPicPr>
                        </pic:nvPicPr>
                        <pic:blipFill>
                          <a:blip r:embed="rId257"/>
                          <a:stretch>
                            <a:fillRect/>
                          </a:stretch>
                        </pic:blipFill>
                        <pic:spPr bwMode="auto">
                          <a:xfrm>
                            <a:off x="0" y="0"/>
                            <a:ext cx="1447800" cy="195008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pPr>
      <w:r>
        <w:rPr/>
        <w:t> </w:t>
      </w:r>
    </w:p>
    <w:tbl>
      <w:tblPr>
        <w:tblW w:w="12436" w:type="dxa"/>
        <w:jc w:val="left"/>
        <w:tblInd w:w="0" w:type="dxa"/>
        <w:shd w:fill="EDEDED" w:val="clear"/>
        <w:tblLayout w:type="fixed"/>
        <w:tblCellMar>
          <w:top w:w="0" w:type="dxa"/>
          <w:left w:w="0" w:type="dxa"/>
          <w:bottom w:w="0" w:type="dxa"/>
          <w:right w:w="0" w:type="dxa"/>
        </w:tblCellMar>
      </w:tblPr>
      <w:tblGrid>
        <w:gridCol w:w="38"/>
        <w:gridCol w:w="60"/>
        <w:gridCol w:w="1748"/>
        <w:gridCol w:w="1748"/>
        <w:gridCol w:w="1748"/>
        <w:gridCol w:w="1748"/>
        <w:gridCol w:w="1748"/>
        <w:gridCol w:w="1748"/>
        <w:gridCol w:w="1752"/>
        <w:gridCol w:w="60"/>
        <w:gridCol w:w="38"/>
      </w:tblGrid>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748" w:type="dxa"/>
            <w:tcBorders/>
            <w:shd w:fill="EDEDED" w:val="clear"/>
            <w:vAlign w:val="center"/>
          </w:tcPr>
          <w:p>
            <w:pPr>
              <w:pStyle w:val="TableContents"/>
              <w:bidi w:val="0"/>
              <w:spacing w:before="0" w:after="283"/>
              <w:jc w:val="left"/>
              <w:rPr>
                <w:sz w:val="4"/>
                <w:szCs w:val="4"/>
              </w:rPr>
            </w:pPr>
            <w:r>
              <w:rPr>
                <w:sz w:val="4"/>
                <w:szCs w:val="4"/>
              </w:rPr>
            </w:r>
          </w:p>
        </w:tc>
        <w:tc>
          <w:tcPr>
            <w:tcW w:w="1748" w:type="dxa"/>
            <w:tcBorders/>
            <w:shd w:fill="EDEDED" w:val="clear"/>
            <w:vAlign w:val="center"/>
          </w:tcPr>
          <w:p>
            <w:pPr>
              <w:pStyle w:val="TableContents"/>
              <w:bidi w:val="0"/>
              <w:spacing w:before="0" w:after="283"/>
              <w:jc w:val="left"/>
              <w:rPr>
                <w:sz w:val="4"/>
                <w:szCs w:val="4"/>
              </w:rPr>
            </w:pPr>
            <w:r>
              <w:rPr>
                <w:sz w:val="4"/>
                <w:szCs w:val="4"/>
              </w:rPr>
            </w:r>
          </w:p>
        </w:tc>
        <w:tc>
          <w:tcPr>
            <w:tcW w:w="1748" w:type="dxa"/>
            <w:tcBorders/>
            <w:shd w:fill="EDEDED" w:val="clear"/>
            <w:vAlign w:val="center"/>
          </w:tcPr>
          <w:p>
            <w:pPr>
              <w:pStyle w:val="TableContents"/>
              <w:bidi w:val="0"/>
              <w:spacing w:before="0" w:after="283"/>
              <w:jc w:val="left"/>
              <w:rPr>
                <w:sz w:val="4"/>
                <w:szCs w:val="4"/>
              </w:rPr>
            </w:pPr>
            <w:r>
              <w:rPr>
                <w:sz w:val="4"/>
                <w:szCs w:val="4"/>
              </w:rPr>
            </w:r>
          </w:p>
        </w:tc>
        <w:tc>
          <w:tcPr>
            <w:tcW w:w="1748" w:type="dxa"/>
            <w:tcBorders/>
            <w:shd w:fill="EDEDED" w:val="clear"/>
            <w:vAlign w:val="center"/>
          </w:tcPr>
          <w:p>
            <w:pPr>
              <w:pStyle w:val="TableContents"/>
              <w:bidi w:val="0"/>
              <w:spacing w:before="0" w:after="283"/>
              <w:jc w:val="left"/>
              <w:rPr>
                <w:sz w:val="4"/>
                <w:szCs w:val="4"/>
              </w:rPr>
            </w:pPr>
            <w:r>
              <w:rPr>
                <w:sz w:val="4"/>
                <w:szCs w:val="4"/>
              </w:rPr>
            </w:r>
          </w:p>
        </w:tc>
        <w:tc>
          <w:tcPr>
            <w:tcW w:w="1748" w:type="dxa"/>
            <w:tcBorders/>
            <w:shd w:fill="EDEDED" w:val="clear"/>
            <w:vAlign w:val="center"/>
          </w:tcPr>
          <w:p>
            <w:pPr>
              <w:pStyle w:val="TableContents"/>
              <w:bidi w:val="0"/>
              <w:spacing w:before="0" w:after="283"/>
              <w:jc w:val="left"/>
              <w:rPr>
                <w:sz w:val="4"/>
                <w:szCs w:val="4"/>
              </w:rPr>
            </w:pPr>
            <w:r>
              <w:rPr>
                <w:sz w:val="4"/>
                <w:szCs w:val="4"/>
              </w:rPr>
            </w:r>
          </w:p>
        </w:tc>
        <w:tc>
          <w:tcPr>
            <w:tcW w:w="1748" w:type="dxa"/>
            <w:tcBorders/>
            <w:shd w:fill="EDEDED" w:val="clear"/>
            <w:vAlign w:val="center"/>
          </w:tcPr>
          <w:p>
            <w:pPr>
              <w:pStyle w:val="TableContents"/>
              <w:bidi w:val="0"/>
              <w:spacing w:before="0" w:after="283"/>
              <w:jc w:val="left"/>
              <w:rPr>
                <w:sz w:val="4"/>
                <w:szCs w:val="4"/>
              </w:rPr>
            </w:pPr>
            <w:r>
              <w:rPr>
                <w:sz w:val="4"/>
                <w:szCs w:val="4"/>
              </w:rPr>
            </w:r>
          </w:p>
        </w:tc>
        <w:tc>
          <w:tcPr>
            <w:tcW w:w="175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38"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2240" w:type="dxa"/>
            <w:gridSpan w:val="7"/>
            <w:tcBorders/>
            <w:shd w:fill="EDEDED" w:val="clear"/>
            <w:vAlign w:val="center"/>
          </w:tcPr>
          <w:p>
            <w:pPr>
              <w:pStyle w:val="TableContents"/>
              <w:bidi w:val="0"/>
              <w:spacing w:before="0" w:after="0"/>
              <w:jc w:val="center"/>
              <w:rPr/>
            </w:pPr>
            <w:r>
              <w:rPr/>
              <w:drawing>
                <wp:inline distT="0" distB="0" distL="0" distR="0">
                  <wp:extent cx="7772400" cy="2565400"/>
                  <wp:effectExtent l="0" t="0" r="0" b="0"/>
                  <wp:docPr id="269"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7" descr=""/>
                          <pic:cNvPicPr>
                            <a:picLocks noChangeAspect="1" noChangeArrowheads="1"/>
                          </pic:cNvPicPr>
                        </pic:nvPicPr>
                        <pic:blipFill>
                          <a:blip r:embed="rId258"/>
                          <a:stretch>
                            <a:fillRect/>
                          </a:stretch>
                        </pic:blipFill>
                        <pic:spPr bwMode="auto">
                          <a:xfrm>
                            <a:off x="0" y="0"/>
                            <a:ext cx="7772400" cy="2565400"/>
                          </a:xfrm>
                          <a:prstGeom prst="rect">
                            <a:avLst/>
                          </a:prstGeom>
                        </pic:spPr>
                      </pic:pic>
                    </a:graphicData>
                  </a:graphic>
                </wp:inline>
              </w:drawing>
            </w:r>
            <w:r>
              <w:rPr/>
              <w:t xml:space="preserve"> </w:t>
            </w:r>
          </w:p>
          <w:p>
            <w:pPr>
              <w:pStyle w:val="TableContents"/>
              <w:bidi w:val="0"/>
              <w:spacing w:before="0" w:after="0"/>
              <w:jc w:val="left"/>
              <w:rPr>
                <w:rFonts w:ascii="Arial" w:hAnsi="Arial"/>
                <w:i/>
                <w:color w:val="191919"/>
                <w:sz w:val="18"/>
              </w:rPr>
            </w:pPr>
            <w:r>
              <w:rPr>
                <w:rFonts w:ascii="Arial" w:hAnsi="Arial"/>
                <w:i/>
                <w:color w:val="191919"/>
                <w:sz w:val="18"/>
              </w:rPr>
              <w:t>*  Reconciliation to GAAP amounts appear in Exhibit A.</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70"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8" descr=""/>
                          <pic:cNvPicPr>
                            <a:picLocks noChangeAspect="1" noChangeArrowheads="1"/>
                          </pic:cNvPicPr>
                        </pic:nvPicPr>
                        <pic:blipFill>
                          <a:blip r:embed="rId25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As discussed in more detail under “Executive Compensation Program—Annual Incentive Program,” our Annual Incentive Program (“AIP”) allows our NEOs, as well as almost all other Company employees, to receive a cash incentive payment based upon achievement of pre-established financial and individual goals. Based on our fiscal 2026 results, the Company achieved approximately 95% of our annual EBITDA goal and achieved approximately 109% of our annual Operating Cash Flow goal. </w:t>
      </w:r>
    </w:p>
    <w:p>
      <w:pPr>
        <w:pStyle w:val="TextBody"/>
        <w:bidi w:val="0"/>
        <w:spacing w:before="240" w:after="0"/>
        <w:jc w:val="left"/>
        <w:rPr>
          <w:rFonts w:ascii="Arial" w:hAnsi="Arial"/>
          <w:color w:val="191919"/>
          <w:sz w:val="18"/>
        </w:rPr>
      </w:pPr>
      <w:r>
        <w:rPr>
          <w:rFonts w:ascii="Arial" w:hAnsi="Arial"/>
          <w:color w:val="191919"/>
          <w:sz w:val="18"/>
        </w:rPr>
        <w:t xml:space="preserve">As discussed in more detail under “Executive Compensation Program—Long-Term Equity Incentives,” our NEOs, as well as other Company employees, are eligible to receive equity awards under our Long-Term Incentive Program (“LTIP”) that include performance shares, which vest based upon the Company’s financial performance against pre-established goals. For our fiscal 2024 awards (having an April 1, 2023 to March 31, 2026 performance period), our NEOs at the time received performance shares that vested based on the Company’s total shareholder return (“TSR”) compared to the TSRs of the Russell 2000 Index’s members. When measured as prescribed in our performance share awards, </w:t>
      </w:r>
      <w:r>
        <w:rPr>
          <w:rFonts w:ascii="Arial" w:hAnsi="Arial"/>
          <w:b/>
          <w:color w:val="191919"/>
          <w:sz w:val="18"/>
        </w:rPr>
        <w:t>the Company achieved a TSR of 92.8% for this performance period, which ranked 425th among the members of the Russell 2000 Index, or the 78.1st percentile. This performance vested these performance shares at 190.7% of target</w:t>
      </w:r>
      <w:r>
        <w:rPr>
          <w:rFonts w:ascii="Arial" w:hAnsi="Arial"/>
          <w:color w:val="191919"/>
          <w:sz w:val="18"/>
        </w:rPr>
        <w:t xml:space="preserve">, under our established performance vesting grid. This result is consistent with our emphasis on long-term shareholder value creation and the achievement of benchmarked performance goals, which are described in more detail throughout this CD&amp;A. The chart below illustrates the actual relative TSR performance for the fiscal 2024 performance share awards, as well as the projected relative TSR performance for the fiscal 2025 and 2026 performance share awards, all compared to the Russell 2000 Index’s members at March 31,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3333115"/>
            <wp:effectExtent l="0" t="0" r="0" b="0"/>
            <wp:docPr id="271"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9" descr=""/>
                    <pic:cNvPicPr>
                      <a:picLocks noChangeAspect="1" noChangeArrowheads="1"/>
                    </pic:cNvPicPr>
                  </pic:nvPicPr>
                  <pic:blipFill>
                    <a:blip r:embed="rId260"/>
                    <a:stretch>
                      <a:fillRect/>
                    </a:stretch>
                  </pic:blipFill>
                  <pic:spPr bwMode="auto">
                    <a:xfrm>
                      <a:off x="0" y="0"/>
                      <a:ext cx="7772400" cy="3333115"/>
                    </a:xfrm>
                    <a:prstGeom prst="rect">
                      <a:avLst/>
                    </a:prstGeom>
                  </pic:spPr>
                </pic:pic>
              </a:graphicData>
            </a:graphic>
          </wp:inline>
        </w:drawing>
      </w:r>
      <w:r>
        <w:rPr/>
        <w:t xml:space="preserve">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72"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0" descr=""/>
                          <pic:cNvPicPr>
                            <a:picLocks noChangeAspect="1" noChangeArrowheads="1"/>
                          </pic:cNvPicPr>
                        </pic:nvPicPr>
                        <pic:blipFill>
                          <a:blip r:embed="rId26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228AB4"/>
          <w:sz w:val="26"/>
        </w:rPr>
      </w:pPr>
      <w:r>
        <w:rPr>
          <w:rFonts w:ascii="Arial" w:hAnsi="Arial"/>
          <w:b/>
          <w:color w:val="228AB4"/>
          <w:sz w:val="26"/>
        </w:rPr>
        <w:t xml:space="preserve">Executive Compensation Program Changes for Fiscal 2026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is committed to continuously evaluating our executive compensation program, with a focus on the best interests of our shareholders and the Company and sound compensation practices, consistent with our compensation program purpose and objectives. The Compensation Committee evaluated all elements of our compensation program for fiscal 2026, in consultation with management and WTW, its independent compensation consultant. As a result of this evaluation, the Compensation Committee approved incremental updates to certain elements of the AIP and the LTIP. </w:t>
      </w:r>
    </w:p>
    <w:p>
      <w:pPr>
        <w:pStyle w:val="TextBody"/>
        <w:bidi w:val="0"/>
        <w:spacing w:before="360" w:after="0"/>
        <w:jc w:val="left"/>
        <w:rPr>
          <w:rFonts w:ascii="Arial" w:hAnsi="Arial"/>
          <w:b/>
          <w:color w:val="191919"/>
          <w:sz w:val="21"/>
        </w:rPr>
      </w:pPr>
      <w:r>
        <w:rPr>
          <w:rFonts w:ascii="Arial" w:hAnsi="Arial"/>
          <w:b/>
          <w:color w:val="191919"/>
          <w:sz w:val="21"/>
        </w:rPr>
        <w:t xml:space="preserve">Annual Incentive Plan Changes </w:t>
      </w:r>
    </w:p>
    <w:p>
      <w:pPr>
        <w:pStyle w:val="TextBody"/>
        <w:bidi w:val="0"/>
        <w:spacing w:before="240" w:after="0"/>
        <w:jc w:val="left"/>
        <w:rPr>
          <w:rFonts w:ascii="Arial" w:hAnsi="Arial"/>
          <w:color w:val="191919"/>
          <w:sz w:val="18"/>
        </w:rPr>
      </w:pPr>
      <w:r>
        <w:rPr>
          <w:rFonts w:ascii="Arial" w:hAnsi="Arial"/>
          <w:b/>
          <w:i/>
          <w:color w:val="191919"/>
          <w:sz w:val="18"/>
        </w:rPr>
        <w:t>Metric Target Setting Process</w:t>
      </w:r>
      <w:r>
        <w:rPr>
          <w:rFonts w:ascii="Arial" w:hAnsi="Arial"/>
          <w:color w:val="191919"/>
          <w:sz w:val="18"/>
        </w:rPr>
        <w:t xml:space="preserve">. In fiscal 2025, the Compensation Committee returned to annual target setting for our AIP performance metrics following a period of four years during which we used a less-than-annual target setting process for AIP metrics, as we navigated COVID-related challenges and related market disruptions, the integration of material acquisitions, and an unprecedented inflationary environment and significant volatility in actual and forecasted input costs, including freight. As we concluded fiscal 2025 and entered fiscal 2026, rapid changes in domestic and international trade policy and the threat and/or implementation of increased and retaliatory tariffs created significant macroeconomic turmoil and uncertainty regarding market demand, input costs, and freight. Due to this, forecasting annual performance targets for our AIP metrics became very difficult, which magnified risks within the AIP program in a manner similar to what we experienced in the fiscal 2021-2024 time frame. </w:t>
      </w:r>
    </w:p>
    <w:p>
      <w:pPr>
        <w:pStyle w:val="TextBody"/>
        <w:bidi w:val="0"/>
        <w:spacing w:before="240" w:after="0"/>
        <w:jc w:val="left"/>
        <w:rPr>
          <w:rFonts w:ascii="Arial" w:hAnsi="Arial"/>
          <w:color w:val="191919"/>
          <w:sz w:val="18"/>
        </w:rPr>
      </w:pPr>
      <w:r>
        <w:rPr>
          <w:rFonts w:ascii="Arial" w:hAnsi="Arial"/>
          <w:color w:val="191919"/>
          <w:sz w:val="18"/>
        </w:rPr>
        <w:t xml:space="preserve">To address these risks, for fiscal 2026, the Compensation Committee, with the support of WTW and management, returned to a semi-annual target-setting process for our AIP metrics, the same as used during the fiscal 2022-2024 time frame. As was demonstrated during prior years, the semi-annual AIP target-setting process provides an artful solution to target setting challenges that exist in the face of unique market conditions and their associated challenges, which were again present in fiscal 2026. Utilizing more frequent than annual target setting intervals has a limiting effect on AIP payouts—it mitigates the risk of inflated payouts that can result from targets being set too conservatively in the face of significant uncertainty, and, due to having multiple measurement periods, it makes achieving “maximum” payout levels for the full year more difficult. Conversely, it provides the Compensation Committee and management the ability to address rapidly changing market conditions, reducing the potential for out-of-cycle adjustments to established AIP metric targets.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continued to adhere to our compensation objectives and principles in fiscal 2026, including ensuring that performance targets for all financial metrics used in our AIP are set at objective, challenging levels that require significant effort and achievement by our NEOs for a target payout to occur. </w:t>
      </w:r>
    </w:p>
    <w:p>
      <w:pPr>
        <w:pStyle w:val="TextBody"/>
        <w:bidi w:val="0"/>
        <w:spacing w:before="240" w:after="0"/>
        <w:jc w:val="left"/>
        <w:rPr>
          <w:rFonts w:ascii="Arial" w:hAnsi="Arial"/>
          <w:color w:val="191919"/>
          <w:sz w:val="18"/>
        </w:rPr>
      </w:pPr>
      <w:r>
        <w:rPr>
          <w:rFonts w:ascii="Arial" w:hAnsi="Arial"/>
          <w:b/>
          <w:i/>
          <w:color w:val="191919"/>
          <w:sz w:val="18"/>
        </w:rPr>
        <w:t>Payout Matrix Update</w:t>
      </w:r>
      <w:r>
        <w:rPr>
          <w:rFonts w:ascii="Arial" w:hAnsi="Arial"/>
          <w:color w:val="191919"/>
          <w:sz w:val="18"/>
        </w:rPr>
        <w:t xml:space="preserve">. For fiscal 2026, the Compensation Committee approved an expansion of the lower end of the payout matrix for the AIP’s EBITDA and OCF financial metrics. As shown in the table below, the existing “threshold” (or 50% payout) remained at 85% of target for the EBITDA metric and at 80% of target for the OCF metric; however, a new “lower threshold” (or 30% payout) was added at 70% of target for the EBITDA metric and at 60% of target for the OCF metric. This change was made to better align the AIP’s payout matrix with practices among our Compensation Peer Group and the broader market regarding short-term incentive programs.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3110230" cy="2167890"/>
                <wp:effectExtent l="0" t="0" r="0" b="0"/>
                <wp:wrapSquare wrapText="right"/>
                <wp:docPr id="273" name="Frame13"/>
                <a:graphic xmlns:a="http://schemas.openxmlformats.org/drawingml/2006/main">
                  <a:graphicData uri="http://schemas.microsoft.com/office/word/2010/wordprocessingShape">
                    <wps:wsp>
                      <wps:cNvSpPr txBox="1"/>
                      <wps:spPr>
                        <a:xfrm>
                          <a:off x="0" y="0"/>
                          <a:ext cx="3110230" cy="2167890"/>
                        </a:xfrm>
                        <a:prstGeom prst="rect"/>
                        <a:solidFill>
                          <a:srgbClr val="FFFFFF"/>
                        </a:solidFill>
                      </wps:spPr>
                      <wps:txbx>
                        <w:txbxContent>
                          <w:tbl>
                            <w:tblPr>
                              <w:tblW w:w="5675" w:type="dxa"/>
                              <w:jc w:val="left"/>
                              <w:tblInd w:w="0" w:type="dxa"/>
                              <w:tblLayout w:type="fixed"/>
                              <w:tblCellMar>
                                <w:top w:w="0" w:type="dxa"/>
                                <w:left w:w="0" w:type="dxa"/>
                                <w:bottom w:w="0" w:type="dxa"/>
                                <w:right w:w="0" w:type="dxa"/>
                              </w:tblCellMar>
                            </w:tblPr>
                            <w:tblGrid>
                              <w:gridCol w:w="1085"/>
                              <w:gridCol w:w="60"/>
                              <w:gridCol w:w="1385"/>
                              <w:gridCol w:w="60"/>
                              <w:gridCol w:w="1505"/>
                              <w:gridCol w:w="60"/>
                              <w:gridCol w:w="152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5675" w:type="dxa"/>
                                  <w:gridSpan w:val="7"/>
                                  <w:tcBorders>
                                    <w:bottom w:val="single" w:sz="2" w:space="0" w:color="7DB655"/>
                                  </w:tcBorders>
                                  <w:tcMar>
                                    <w:bottom w:w="40" w:type="dxa"/>
                                  </w:tcMar>
                                  <w:vAlign w:val="center"/>
                                </w:tcPr>
                                <w:p>
                                  <w:pPr>
                                    <w:pStyle w:val="TableContents"/>
                                    <w:bidi w:val="0"/>
                                    <w:spacing w:before="0" w:after="20"/>
                                    <w:jc w:val="center"/>
                                    <w:rPr>
                                      <w:rFonts w:ascii="Arial" w:hAnsi="Arial"/>
                                      <w:b/>
                                      <w:color w:val="191919"/>
                                      <w:sz w:val="16"/>
                                    </w:rPr>
                                  </w:pPr>
                                  <w:r>
                                    <w:rPr>
                                      <w:rFonts w:ascii="Arial" w:hAnsi="Arial"/>
                                      <w:b/>
                                      <w:color w:val="191919"/>
                                      <w:sz w:val="16"/>
                                    </w:rPr>
                                    <w:t>EBITDA Payout Matrix</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Lower</w:t>
                                    <w:br/>
                                    <w:t>Threshold</w:t>
                                  </w:r>
                                </w:p>
                                <w:p>
                                  <w:pPr>
                                    <w:pStyle w:val="TableContents"/>
                                    <w:bidi w:val="0"/>
                                    <w:spacing w:before="0" w:after="20"/>
                                    <w:jc w:val="center"/>
                                    <w:rPr>
                                      <w:rFonts w:ascii="Arial" w:hAnsi="Arial"/>
                                      <w:b/>
                                      <w:color w:val="191919"/>
                                      <w:sz w:val="16"/>
                                    </w:rPr>
                                  </w:pPr>
                                  <w:r>
                                    <w:rPr>
                                      <w:rFonts w:ascii="Arial" w:hAnsi="Arial"/>
                                      <w:b/>
                                      <w:color w:val="191919"/>
                                      <w:sz w:val="16"/>
                                    </w:rPr>
                                    <w:t>(30% 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Interim</w:t>
                                    <w:br/>
                                    <w:t>Threshold</w:t>
                                  </w:r>
                                </w:p>
                                <w:p>
                                  <w:pPr>
                                    <w:pStyle w:val="TableContents"/>
                                    <w:bidi w:val="0"/>
                                    <w:spacing w:before="0" w:after="0"/>
                                    <w:jc w:val="center"/>
                                    <w:rPr>
                                      <w:rFonts w:ascii="Arial" w:hAnsi="Arial"/>
                                      <w:b/>
                                      <w:color w:val="191919"/>
                                      <w:sz w:val="16"/>
                                    </w:rPr>
                                  </w:pPr>
                                  <w:r>
                                    <w:rPr>
                                      <w:rFonts w:ascii="Arial" w:hAnsi="Arial"/>
                                      <w:b/>
                                      <w:color w:val="191919"/>
                                      <w:sz w:val="16"/>
                                    </w:rPr>
                                    <w:t>(50%</w:t>
                                  </w:r>
                                </w:p>
                                <w:p>
                                  <w:pPr>
                                    <w:pStyle w:val="TableContents"/>
                                    <w:bidi w:val="0"/>
                                    <w:spacing w:before="0" w:after="20"/>
                                    <w:jc w:val="center"/>
                                    <w:rPr>
                                      <w:rFonts w:ascii="Arial" w:hAnsi="Arial"/>
                                      <w:b/>
                                      <w:color w:val="191919"/>
                                      <w:sz w:val="16"/>
                                    </w:rPr>
                                  </w:pPr>
                                  <w:r>
                                    <w:rPr>
                                      <w:rFonts w:ascii="Arial" w:hAnsi="Arial"/>
                                      <w:b/>
                                      <w:color w:val="191919"/>
                                      <w:sz w:val="16"/>
                                    </w:rP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Target</w:t>
                                  </w:r>
                                </w:p>
                                <w:p>
                                  <w:pPr>
                                    <w:pStyle w:val="TableContents"/>
                                    <w:bidi w:val="0"/>
                                    <w:spacing w:before="0" w:after="20"/>
                                    <w:jc w:val="center"/>
                                    <w:rPr>
                                      <w:rFonts w:ascii="Arial" w:hAnsi="Arial"/>
                                      <w:b/>
                                      <w:color w:val="191919"/>
                                      <w:sz w:val="16"/>
                                    </w:rPr>
                                  </w:pPr>
                                  <w:r>
                                    <w:rPr>
                                      <w:rFonts w:ascii="Arial" w:hAnsi="Arial"/>
                                      <w:b/>
                                      <w:color w:val="191919"/>
                                      <w:sz w:val="16"/>
                                    </w:rPr>
                                    <w:t>(100%</w:t>
                                    <w:b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Maximum</w:t>
                                  </w:r>
                                </w:p>
                                <w:p>
                                  <w:pPr>
                                    <w:pStyle w:val="TableContents"/>
                                    <w:bidi w:val="0"/>
                                    <w:spacing w:before="0" w:after="0"/>
                                    <w:jc w:val="center"/>
                                    <w:rPr>
                                      <w:rFonts w:ascii="Arial" w:hAnsi="Arial"/>
                                      <w:b/>
                                      <w:color w:val="191919"/>
                                      <w:sz w:val="16"/>
                                    </w:rPr>
                                  </w:pPr>
                                  <w:r>
                                    <w:rPr>
                                      <w:rFonts w:ascii="Arial" w:hAnsi="Arial"/>
                                      <w:b/>
                                      <w:color w:val="191919"/>
                                      <w:sz w:val="16"/>
                                    </w:rPr>
                                    <w:t>(200%</w:t>
                                  </w:r>
                                </w:p>
                                <w:p>
                                  <w:pPr>
                                    <w:pStyle w:val="TableContents"/>
                                    <w:bidi w:val="0"/>
                                    <w:spacing w:before="0" w:after="20"/>
                                    <w:jc w:val="center"/>
                                    <w:rPr>
                                      <w:rFonts w:ascii="Arial" w:hAnsi="Arial"/>
                                      <w:b/>
                                      <w:color w:val="191919"/>
                                      <w:sz w:val="16"/>
                                    </w:rPr>
                                  </w:pPr>
                                  <w:r>
                                    <w:rPr>
                                      <w:rFonts w:ascii="Arial" w:hAnsi="Arial"/>
                                      <w:b/>
                                      <w:color w:val="191919"/>
                                      <w:sz w:val="16"/>
                                    </w:rPr>
                                    <w:t>Payout)</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7DB655"/>
                                  </w:tcBorders>
                                  <w:tcMar>
                                    <w:bottom w:w="80" w:type="dxa"/>
                                  </w:tcMar>
                                  <w:vAlign w:val="center"/>
                                </w:tcPr>
                                <w:p>
                                  <w:pPr>
                                    <w:pStyle w:val="TableContents"/>
                                    <w:bidi w:val="0"/>
                                    <w:spacing w:before="0" w:after="0"/>
                                    <w:jc w:val="center"/>
                                    <w:rPr>
                                      <w:rFonts w:ascii="Arial" w:hAnsi="Arial"/>
                                      <w:color w:val="191919"/>
                                      <w:sz w:val="17"/>
                                    </w:rPr>
                                  </w:pPr>
                                  <w:r>
                                    <w:rPr>
                                      <w:rFonts w:ascii="Arial" w:hAnsi="Arial"/>
                                      <w:color w:val="191919"/>
                                      <w:sz w:val="17"/>
                                    </w:rPr>
                                    <w:t>70%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85%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100%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115% of Target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0.7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675" w:type="dxa"/>
                        <w:jc w:val="left"/>
                        <w:tblInd w:w="0" w:type="dxa"/>
                        <w:tblLayout w:type="fixed"/>
                        <w:tblCellMar>
                          <w:top w:w="0" w:type="dxa"/>
                          <w:left w:w="0" w:type="dxa"/>
                          <w:bottom w:w="0" w:type="dxa"/>
                          <w:right w:w="0" w:type="dxa"/>
                        </w:tblCellMar>
                      </w:tblPr>
                      <w:tblGrid>
                        <w:gridCol w:w="1085"/>
                        <w:gridCol w:w="60"/>
                        <w:gridCol w:w="1385"/>
                        <w:gridCol w:w="60"/>
                        <w:gridCol w:w="1505"/>
                        <w:gridCol w:w="60"/>
                        <w:gridCol w:w="152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5675" w:type="dxa"/>
                            <w:gridSpan w:val="7"/>
                            <w:tcBorders>
                              <w:bottom w:val="single" w:sz="2" w:space="0" w:color="7DB655"/>
                            </w:tcBorders>
                            <w:tcMar>
                              <w:bottom w:w="40" w:type="dxa"/>
                            </w:tcMar>
                            <w:vAlign w:val="center"/>
                          </w:tcPr>
                          <w:p>
                            <w:pPr>
                              <w:pStyle w:val="TableContents"/>
                              <w:bidi w:val="0"/>
                              <w:spacing w:before="0" w:after="20"/>
                              <w:jc w:val="center"/>
                              <w:rPr>
                                <w:rFonts w:ascii="Arial" w:hAnsi="Arial"/>
                                <w:b/>
                                <w:color w:val="191919"/>
                                <w:sz w:val="16"/>
                              </w:rPr>
                            </w:pPr>
                            <w:r>
                              <w:rPr>
                                <w:rFonts w:ascii="Arial" w:hAnsi="Arial"/>
                                <w:b/>
                                <w:color w:val="191919"/>
                                <w:sz w:val="16"/>
                              </w:rPr>
                              <w:t>EBITDA Payout Matrix</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Lower</w:t>
                              <w:br/>
                              <w:t>Threshold</w:t>
                            </w:r>
                          </w:p>
                          <w:p>
                            <w:pPr>
                              <w:pStyle w:val="TableContents"/>
                              <w:bidi w:val="0"/>
                              <w:spacing w:before="0" w:after="20"/>
                              <w:jc w:val="center"/>
                              <w:rPr>
                                <w:rFonts w:ascii="Arial" w:hAnsi="Arial"/>
                                <w:b/>
                                <w:color w:val="191919"/>
                                <w:sz w:val="16"/>
                              </w:rPr>
                            </w:pPr>
                            <w:r>
                              <w:rPr>
                                <w:rFonts w:ascii="Arial" w:hAnsi="Arial"/>
                                <w:b/>
                                <w:color w:val="191919"/>
                                <w:sz w:val="16"/>
                              </w:rPr>
                              <w:t>(30% 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Interim</w:t>
                              <w:br/>
                              <w:t>Threshold</w:t>
                            </w:r>
                          </w:p>
                          <w:p>
                            <w:pPr>
                              <w:pStyle w:val="TableContents"/>
                              <w:bidi w:val="0"/>
                              <w:spacing w:before="0" w:after="0"/>
                              <w:jc w:val="center"/>
                              <w:rPr>
                                <w:rFonts w:ascii="Arial" w:hAnsi="Arial"/>
                                <w:b/>
                                <w:color w:val="191919"/>
                                <w:sz w:val="16"/>
                              </w:rPr>
                            </w:pPr>
                            <w:r>
                              <w:rPr>
                                <w:rFonts w:ascii="Arial" w:hAnsi="Arial"/>
                                <w:b/>
                                <w:color w:val="191919"/>
                                <w:sz w:val="16"/>
                              </w:rPr>
                              <w:t>(50%</w:t>
                            </w:r>
                          </w:p>
                          <w:p>
                            <w:pPr>
                              <w:pStyle w:val="TableContents"/>
                              <w:bidi w:val="0"/>
                              <w:spacing w:before="0" w:after="20"/>
                              <w:jc w:val="center"/>
                              <w:rPr>
                                <w:rFonts w:ascii="Arial" w:hAnsi="Arial"/>
                                <w:b/>
                                <w:color w:val="191919"/>
                                <w:sz w:val="16"/>
                              </w:rPr>
                            </w:pPr>
                            <w:r>
                              <w:rPr>
                                <w:rFonts w:ascii="Arial" w:hAnsi="Arial"/>
                                <w:b/>
                                <w:color w:val="191919"/>
                                <w:sz w:val="16"/>
                              </w:rP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Target</w:t>
                            </w:r>
                          </w:p>
                          <w:p>
                            <w:pPr>
                              <w:pStyle w:val="TableContents"/>
                              <w:bidi w:val="0"/>
                              <w:spacing w:before="0" w:after="20"/>
                              <w:jc w:val="center"/>
                              <w:rPr>
                                <w:rFonts w:ascii="Arial" w:hAnsi="Arial"/>
                                <w:b/>
                                <w:color w:val="191919"/>
                                <w:sz w:val="16"/>
                              </w:rPr>
                            </w:pPr>
                            <w:r>
                              <w:rPr>
                                <w:rFonts w:ascii="Arial" w:hAnsi="Arial"/>
                                <w:b/>
                                <w:color w:val="191919"/>
                                <w:sz w:val="16"/>
                              </w:rPr>
                              <w:t>(100%</w:t>
                              <w:b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Maximum</w:t>
                            </w:r>
                          </w:p>
                          <w:p>
                            <w:pPr>
                              <w:pStyle w:val="TableContents"/>
                              <w:bidi w:val="0"/>
                              <w:spacing w:before="0" w:after="0"/>
                              <w:jc w:val="center"/>
                              <w:rPr>
                                <w:rFonts w:ascii="Arial" w:hAnsi="Arial"/>
                                <w:b/>
                                <w:color w:val="191919"/>
                                <w:sz w:val="16"/>
                              </w:rPr>
                            </w:pPr>
                            <w:r>
                              <w:rPr>
                                <w:rFonts w:ascii="Arial" w:hAnsi="Arial"/>
                                <w:b/>
                                <w:color w:val="191919"/>
                                <w:sz w:val="16"/>
                              </w:rPr>
                              <w:t>(200%</w:t>
                            </w:r>
                          </w:p>
                          <w:p>
                            <w:pPr>
                              <w:pStyle w:val="TableContents"/>
                              <w:bidi w:val="0"/>
                              <w:spacing w:before="0" w:after="20"/>
                              <w:jc w:val="center"/>
                              <w:rPr>
                                <w:rFonts w:ascii="Arial" w:hAnsi="Arial"/>
                                <w:b/>
                                <w:color w:val="191919"/>
                                <w:sz w:val="16"/>
                              </w:rPr>
                            </w:pPr>
                            <w:r>
                              <w:rPr>
                                <w:rFonts w:ascii="Arial" w:hAnsi="Arial"/>
                                <w:b/>
                                <w:color w:val="191919"/>
                                <w:sz w:val="16"/>
                              </w:rPr>
                              <w:t>Payout)</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7DB655"/>
                            </w:tcBorders>
                            <w:tcMar>
                              <w:bottom w:w="80" w:type="dxa"/>
                            </w:tcMar>
                            <w:vAlign w:val="center"/>
                          </w:tcPr>
                          <w:p>
                            <w:pPr>
                              <w:pStyle w:val="TableContents"/>
                              <w:bidi w:val="0"/>
                              <w:spacing w:before="0" w:after="0"/>
                              <w:jc w:val="center"/>
                              <w:rPr>
                                <w:rFonts w:ascii="Arial" w:hAnsi="Arial"/>
                                <w:color w:val="191919"/>
                                <w:sz w:val="17"/>
                              </w:rPr>
                            </w:pPr>
                            <w:r>
                              <w:rPr>
                                <w:rFonts w:ascii="Arial" w:hAnsi="Arial"/>
                                <w:color w:val="191919"/>
                                <w:sz w:val="17"/>
                              </w:rPr>
                              <w:t>70%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85%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100%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115% of Target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3175000" cy="2167890"/>
                <wp:effectExtent l="0" t="0" r="0" b="0"/>
                <wp:wrapSquare wrapText="right"/>
                <wp:docPr id="274" name="Frame14"/>
                <a:graphic xmlns:a="http://schemas.openxmlformats.org/drawingml/2006/main">
                  <a:graphicData uri="http://schemas.microsoft.com/office/word/2010/wordprocessingShape">
                    <wps:wsp>
                      <wps:cNvSpPr txBox="1"/>
                      <wps:spPr>
                        <a:xfrm>
                          <a:off x="0" y="0"/>
                          <a:ext cx="3175000" cy="2167890"/>
                        </a:xfrm>
                        <a:prstGeom prst="rect"/>
                        <a:solidFill>
                          <a:srgbClr val="FFFFFF"/>
                        </a:solidFill>
                      </wps:spPr>
                      <wps:txbx>
                        <w:txbxContent>
                          <w:tbl>
                            <w:tblPr>
                              <w:tblW w:w="5675" w:type="dxa"/>
                              <w:jc w:val="left"/>
                              <w:tblInd w:w="0" w:type="dxa"/>
                              <w:tblLayout w:type="fixed"/>
                              <w:tblCellMar>
                                <w:top w:w="0" w:type="dxa"/>
                                <w:left w:w="0" w:type="dxa"/>
                                <w:bottom w:w="0" w:type="dxa"/>
                                <w:right w:w="0" w:type="dxa"/>
                              </w:tblCellMar>
                            </w:tblPr>
                            <w:tblGrid>
                              <w:gridCol w:w="1085"/>
                              <w:gridCol w:w="60"/>
                              <w:gridCol w:w="1385"/>
                              <w:gridCol w:w="60"/>
                              <w:gridCol w:w="1505"/>
                              <w:gridCol w:w="60"/>
                              <w:gridCol w:w="152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5675" w:type="dxa"/>
                                  <w:gridSpan w:val="7"/>
                                  <w:tcBorders>
                                    <w:bottom w:val="single" w:sz="2" w:space="0" w:color="7DB655"/>
                                  </w:tcBorders>
                                  <w:tcMar>
                                    <w:bottom w:w="40" w:type="dxa"/>
                                  </w:tcMar>
                                  <w:vAlign w:val="center"/>
                                </w:tcPr>
                                <w:p>
                                  <w:pPr>
                                    <w:pStyle w:val="TableContents"/>
                                    <w:bidi w:val="0"/>
                                    <w:spacing w:before="0" w:after="20"/>
                                    <w:jc w:val="center"/>
                                    <w:rPr>
                                      <w:rFonts w:ascii="Arial" w:hAnsi="Arial"/>
                                      <w:b/>
                                      <w:color w:val="191919"/>
                                      <w:sz w:val="16"/>
                                    </w:rPr>
                                  </w:pPr>
                                  <w:r>
                                    <w:rPr>
                                      <w:rFonts w:ascii="Arial" w:hAnsi="Arial"/>
                                      <w:b/>
                                      <w:color w:val="191919"/>
                                      <w:sz w:val="16"/>
                                    </w:rPr>
                                    <w:t>Operating Cash Flow Payout Matrix</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Lower</w:t>
                                    <w:br/>
                                    <w:t>Threshold</w:t>
                                  </w:r>
                                </w:p>
                                <w:p>
                                  <w:pPr>
                                    <w:pStyle w:val="TableContents"/>
                                    <w:bidi w:val="0"/>
                                    <w:spacing w:before="0" w:after="20"/>
                                    <w:jc w:val="center"/>
                                    <w:rPr>
                                      <w:rFonts w:ascii="Arial" w:hAnsi="Arial"/>
                                      <w:b/>
                                      <w:color w:val="191919"/>
                                      <w:sz w:val="16"/>
                                    </w:rPr>
                                  </w:pPr>
                                  <w:r>
                                    <w:rPr>
                                      <w:rFonts w:ascii="Arial" w:hAnsi="Arial"/>
                                      <w:b/>
                                      <w:color w:val="191919"/>
                                      <w:sz w:val="16"/>
                                    </w:rPr>
                                    <w:t>(30% 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Interim</w:t>
                                    <w:br/>
                                    <w:t>Threshold</w:t>
                                  </w:r>
                                </w:p>
                                <w:p>
                                  <w:pPr>
                                    <w:pStyle w:val="TableContents"/>
                                    <w:bidi w:val="0"/>
                                    <w:spacing w:before="0" w:after="0"/>
                                    <w:jc w:val="center"/>
                                    <w:rPr>
                                      <w:rFonts w:ascii="Arial" w:hAnsi="Arial"/>
                                      <w:b/>
                                      <w:color w:val="191919"/>
                                      <w:sz w:val="16"/>
                                    </w:rPr>
                                  </w:pPr>
                                  <w:r>
                                    <w:rPr>
                                      <w:rFonts w:ascii="Arial" w:hAnsi="Arial"/>
                                      <w:b/>
                                      <w:color w:val="191919"/>
                                      <w:sz w:val="16"/>
                                    </w:rPr>
                                    <w:t>(50%</w:t>
                                  </w:r>
                                </w:p>
                                <w:p>
                                  <w:pPr>
                                    <w:pStyle w:val="TableContents"/>
                                    <w:bidi w:val="0"/>
                                    <w:spacing w:before="0" w:after="20"/>
                                    <w:jc w:val="center"/>
                                    <w:rPr>
                                      <w:rFonts w:ascii="Arial" w:hAnsi="Arial"/>
                                      <w:b/>
                                      <w:color w:val="191919"/>
                                      <w:sz w:val="16"/>
                                    </w:rPr>
                                  </w:pPr>
                                  <w:r>
                                    <w:rPr>
                                      <w:rFonts w:ascii="Arial" w:hAnsi="Arial"/>
                                      <w:b/>
                                      <w:color w:val="191919"/>
                                      <w:sz w:val="16"/>
                                    </w:rP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Target</w:t>
                                  </w:r>
                                </w:p>
                                <w:p>
                                  <w:pPr>
                                    <w:pStyle w:val="TableContents"/>
                                    <w:bidi w:val="0"/>
                                    <w:spacing w:before="0" w:after="0"/>
                                    <w:jc w:val="center"/>
                                    <w:rPr>
                                      <w:rFonts w:ascii="Arial" w:hAnsi="Arial"/>
                                      <w:b/>
                                      <w:color w:val="191919"/>
                                      <w:sz w:val="16"/>
                                    </w:rPr>
                                  </w:pPr>
                                  <w:r>
                                    <w:rPr>
                                      <w:rFonts w:ascii="Arial" w:hAnsi="Arial"/>
                                      <w:b/>
                                      <w:color w:val="191919"/>
                                      <w:sz w:val="16"/>
                                    </w:rPr>
                                    <w:t>(100%</w:t>
                                  </w:r>
                                </w:p>
                                <w:p>
                                  <w:pPr>
                                    <w:pStyle w:val="TableContents"/>
                                    <w:bidi w:val="0"/>
                                    <w:spacing w:before="0" w:after="20"/>
                                    <w:jc w:val="center"/>
                                    <w:rPr>
                                      <w:rFonts w:ascii="Arial" w:hAnsi="Arial"/>
                                      <w:b/>
                                      <w:color w:val="191919"/>
                                      <w:sz w:val="16"/>
                                    </w:rPr>
                                  </w:pPr>
                                  <w:r>
                                    <w:rPr>
                                      <w:rFonts w:ascii="Arial" w:hAnsi="Arial"/>
                                      <w:b/>
                                      <w:color w:val="191919"/>
                                      <w:sz w:val="16"/>
                                    </w:rP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Maximum</w:t>
                                  </w:r>
                                </w:p>
                                <w:p>
                                  <w:pPr>
                                    <w:pStyle w:val="TableContents"/>
                                    <w:bidi w:val="0"/>
                                    <w:spacing w:before="0" w:after="0"/>
                                    <w:jc w:val="center"/>
                                    <w:rPr>
                                      <w:rFonts w:ascii="Arial" w:hAnsi="Arial"/>
                                      <w:b/>
                                      <w:color w:val="191919"/>
                                      <w:sz w:val="16"/>
                                    </w:rPr>
                                  </w:pPr>
                                  <w:r>
                                    <w:rPr>
                                      <w:rFonts w:ascii="Arial" w:hAnsi="Arial"/>
                                      <w:b/>
                                      <w:color w:val="191919"/>
                                      <w:sz w:val="16"/>
                                    </w:rPr>
                                    <w:t>(200%</w:t>
                                  </w:r>
                                </w:p>
                                <w:p>
                                  <w:pPr>
                                    <w:pStyle w:val="TableContents"/>
                                    <w:bidi w:val="0"/>
                                    <w:spacing w:before="0" w:after="20"/>
                                    <w:jc w:val="center"/>
                                    <w:rPr>
                                      <w:rFonts w:ascii="Arial" w:hAnsi="Arial"/>
                                      <w:b/>
                                      <w:color w:val="191919"/>
                                      <w:sz w:val="16"/>
                                    </w:rPr>
                                  </w:pPr>
                                  <w:r>
                                    <w:rPr>
                                      <w:rFonts w:ascii="Arial" w:hAnsi="Arial"/>
                                      <w:b/>
                                      <w:color w:val="191919"/>
                                      <w:sz w:val="16"/>
                                    </w:rPr>
                                    <w:t>Payout)</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7DB655"/>
                                  </w:tcBorders>
                                  <w:tcMar>
                                    <w:bottom w:w="80" w:type="dxa"/>
                                  </w:tcMar>
                                  <w:vAlign w:val="center"/>
                                </w:tcPr>
                                <w:p>
                                  <w:pPr>
                                    <w:pStyle w:val="TableContents"/>
                                    <w:bidi w:val="0"/>
                                    <w:spacing w:before="0" w:after="0"/>
                                    <w:jc w:val="center"/>
                                    <w:rPr>
                                      <w:rFonts w:ascii="Arial" w:hAnsi="Arial"/>
                                      <w:color w:val="191919"/>
                                      <w:sz w:val="17"/>
                                    </w:rPr>
                                  </w:pPr>
                                  <w:r>
                                    <w:rPr>
                                      <w:rFonts w:ascii="Arial" w:hAnsi="Arial"/>
                                      <w:color w:val="191919"/>
                                      <w:sz w:val="17"/>
                                    </w:rPr>
                                    <w:t>60%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80%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100%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120% of Target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0.7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675" w:type="dxa"/>
                        <w:jc w:val="left"/>
                        <w:tblInd w:w="0" w:type="dxa"/>
                        <w:tblLayout w:type="fixed"/>
                        <w:tblCellMar>
                          <w:top w:w="0" w:type="dxa"/>
                          <w:left w:w="0" w:type="dxa"/>
                          <w:bottom w:w="0" w:type="dxa"/>
                          <w:right w:w="0" w:type="dxa"/>
                        </w:tblCellMar>
                      </w:tblPr>
                      <w:tblGrid>
                        <w:gridCol w:w="1085"/>
                        <w:gridCol w:w="60"/>
                        <w:gridCol w:w="1385"/>
                        <w:gridCol w:w="60"/>
                        <w:gridCol w:w="1505"/>
                        <w:gridCol w:w="60"/>
                        <w:gridCol w:w="152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5675" w:type="dxa"/>
                            <w:gridSpan w:val="7"/>
                            <w:tcBorders>
                              <w:bottom w:val="single" w:sz="2" w:space="0" w:color="7DB655"/>
                            </w:tcBorders>
                            <w:tcMar>
                              <w:bottom w:w="40" w:type="dxa"/>
                            </w:tcMar>
                            <w:vAlign w:val="center"/>
                          </w:tcPr>
                          <w:p>
                            <w:pPr>
                              <w:pStyle w:val="TableContents"/>
                              <w:bidi w:val="0"/>
                              <w:spacing w:before="0" w:after="20"/>
                              <w:jc w:val="center"/>
                              <w:rPr>
                                <w:rFonts w:ascii="Arial" w:hAnsi="Arial"/>
                                <w:b/>
                                <w:color w:val="191919"/>
                                <w:sz w:val="16"/>
                              </w:rPr>
                            </w:pPr>
                            <w:r>
                              <w:rPr>
                                <w:rFonts w:ascii="Arial" w:hAnsi="Arial"/>
                                <w:b/>
                                <w:color w:val="191919"/>
                                <w:sz w:val="16"/>
                              </w:rPr>
                              <w:t>Operating Cash Flow Payout Matrix</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Lower</w:t>
                              <w:br/>
                              <w:t>Threshold</w:t>
                            </w:r>
                          </w:p>
                          <w:p>
                            <w:pPr>
                              <w:pStyle w:val="TableContents"/>
                              <w:bidi w:val="0"/>
                              <w:spacing w:before="0" w:after="20"/>
                              <w:jc w:val="center"/>
                              <w:rPr>
                                <w:rFonts w:ascii="Arial" w:hAnsi="Arial"/>
                                <w:b/>
                                <w:color w:val="191919"/>
                                <w:sz w:val="16"/>
                              </w:rPr>
                            </w:pPr>
                            <w:r>
                              <w:rPr>
                                <w:rFonts w:ascii="Arial" w:hAnsi="Arial"/>
                                <w:b/>
                                <w:color w:val="191919"/>
                                <w:sz w:val="16"/>
                              </w:rPr>
                              <w:t>(30% 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Interim</w:t>
                              <w:br/>
                              <w:t>Threshold</w:t>
                            </w:r>
                          </w:p>
                          <w:p>
                            <w:pPr>
                              <w:pStyle w:val="TableContents"/>
                              <w:bidi w:val="0"/>
                              <w:spacing w:before="0" w:after="0"/>
                              <w:jc w:val="center"/>
                              <w:rPr>
                                <w:rFonts w:ascii="Arial" w:hAnsi="Arial"/>
                                <w:b/>
                                <w:color w:val="191919"/>
                                <w:sz w:val="16"/>
                              </w:rPr>
                            </w:pPr>
                            <w:r>
                              <w:rPr>
                                <w:rFonts w:ascii="Arial" w:hAnsi="Arial"/>
                                <w:b/>
                                <w:color w:val="191919"/>
                                <w:sz w:val="16"/>
                              </w:rPr>
                              <w:t>(50%</w:t>
                            </w:r>
                          </w:p>
                          <w:p>
                            <w:pPr>
                              <w:pStyle w:val="TableContents"/>
                              <w:bidi w:val="0"/>
                              <w:spacing w:before="0" w:after="20"/>
                              <w:jc w:val="center"/>
                              <w:rPr>
                                <w:rFonts w:ascii="Arial" w:hAnsi="Arial"/>
                                <w:b/>
                                <w:color w:val="191919"/>
                                <w:sz w:val="16"/>
                              </w:rPr>
                            </w:pPr>
                            <w:r>
                              <w:rPr>
                                <w:rFonts w:ascii="Arial" w:hAnsi="Arial"/>
                                <w:b/>
                                <w:color w:val="191919"/>
                                <w:sz w:val="16"/>
                              </w:rP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Target</w:t>
                            </w:r>
                          </w:p>
                          <w:p>
                            <w:pPr>
                              <w:pStyle w:val="TableContents"/>
                              <w:bidi w:val="0"/>
                              <w:spacing w:before="0" w:after="0"/>
                              <w:jc w:val="center"/>
                              <w:rPr>
                                <w:rFonts w:ascii="Arial" w:hAnsi="Arial"/>
                                <w:b/>
                                <w:color w:val="191919"/>
                                <w:sz w:val="16"/>
                              </w:rPr>
                            </w:pPr>
                            <w:r>
                              <w:rPr>
                                <w:rFonts w:ascii="Arial" w:hAnsi="Arial"/>
                                <w:b/>
                                <w:color w:val="191919"/>
                                <w:sz w:val="16"/>
                              </w:rPr>
                              <w:t>(100%</w:t>
                            </w:r>
                          </w:p>
                          <w:p>
                            <w:pPr>
                              <w:pStyle w:val="TableContents"/>
                              <w:bidi w:val="0"/>
                              <w:spacing w:before="0" w:after="20"/>
                              <w:jc w:val="center"/>
                              <w:rPr>
                                <w:rFonts w:ascii="Arial" w:hAnsi="Arial"/>
                                <w:b/>
                                <w:color w:val="191919"/>
                                <w:sz w:val="16"/>
                              </w:rPr>
                            </w:pPr>
                            <w:r>
                              <w:rPr>
                                <w:rFonts w:ascii="Arial" w:hAnsi="Arial"/>
                                <w:b/>
                                <w:color w:val="191919"/>
                                <w:sz w:val="16"/>
                              </w:rPr>
                              <w:t>Payout)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Maximum</w:t>
                            </w:r>
                          </w:p>
                          <w:p>
                            <w:pPr>
                              <w:pStyle w:val="TableContents"/>
                              <w:bidi w:val="0"/>
                              <w:spacing w:before="0" w:after="0"/>
                              <w:jc w:val="center"/>
                              <w:rPr>
                                <w:rFonts w:ascii="Arial" w:hAnsi="Arial"/>
                                <w:b/>
                                <w:color w:val="191919"/>
                                <w:sz w:val="16"/>
                              </w:rPr>
                            </w:pPr>
                            <w:r>
                              <w:rPr>
                                <w:rFonts w:ascii="Arial" w:hAnsi="Arial"/>
                                <w:b/>
                                <w:color w:val="191919"/>
                                <w:sz w:val="16"/>
                              </w:rPr>
                              <w:t>(200%</w:t>
                            </w:r>
                          </w:p>
                          <w:p>
                            <w:pPr>
                              <w:pStyle w:val="TableContents"/>
                              <w:bidi w:val="0"/>
                              <w:spacing w:before="0" w:after="20"/>
                              <w:jc w:val="center"/>
                              <w:rPr>
                                <w:rFonts w:ascii="Arial" w:hAnsi="Arial"/>
                                <w:b/>
                                <w:color w:val="191919"/>
                                <w:sz w:val="16"/>
                              </w:rPr>
                            </w:pPr>
                            <w:r>
                              <w:rPr>
                                <w:rFonts w:ascii="Arial" w:hAnsi="Arial"/>
                                <w:b/>
                                <w:color w:val="191919"/>
                                <w:sz w:val="16"/>
                              </w:rPr>
                              <w:t>Payout)</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1445" w:type="dxa"/>
                            <w:gridSpan w:val="2"/>
                            <w:tcBorders/>
                            <w:vAlign w:val="center"/>
                          </w:tcPr>
                          <w:p>
                            <w:pPr>
                              <w:pStyle w:val="TableContents"/>
                              <w:bidi w:val="0"/>
                              <w:spacing w:before="0" w:after="283"/>
                              <w:jc w:val="left"/>
                              <w:rPr>
                                <w:sz w:val="4"/>
                                <w:szCs w:val="4"/>
                              </w:rPr>
                            </w:pPr>
                            <w:r>
                              <w:rPr>
                                <w:sz w:val="4"/>
                                <w:szCs w:val="4"/>
                              </w:rPr>
                            </w:r>
                          </w:p>
                        </w:tc>
                        <w:tc>
                          <w:tcPr>
                            <w:tcW w:w="1565" w:type="dxa"/>
                            <w:gridSpan w:val="2"/>
                            <w:tcBorders/>
                            <w:vAlign w:val="center"/>
                          </w:tcPr>
                          <w:p>
                            <w:pPr>
                              <w:pStyle w:val="TableContents"/>
                              <w:bidi w:val="0"/>
                              <w:spacing w:before="0" w:after="283"/>
                              <w:jc w:val="left"/>
                              <w:rPr>
                                <w:sz w:val="4"/>
                                <w:szCs w:val="4"/>
                              </w:rPr>
                            </w:pPr>
                            <w:r>
                              <w:rPr>
                                <w:sz w:val="4"/>
                                <w:szCs w:val="4"/>
                              </w:rPr>
                            </w:r>
                          </w:p>
                        </w:tc>
                        <w:tc>
                          <w:tcPr>
                            <w:tcW w:w="158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bottom w:val="single" w:sz="6" w:space="0" w:color="7DB655"/>
                            </w:tcBorders>
                            <w:tcMar>
                              <w:bottom w:w="80" w:type="dxa"/>
                            </w:tcMar>
                            <w:vAlign w:val="center"/>
                          </w:tcPr>
                          <w:p>
                            <w:pPr>
                              <w:pStyle w:val="TableContents"/>
                              <w:bidi w:val="0"/>
                              <w:spacing w:before="0" w:after="0"/>
                              <w:jc w:val="center"/>
                              <w:rPr>
                                <w:rFonts w:ascii="Arial" w:hAnsi="Arial"/>
                                <w:color w:val="191919"/>
                                <w:sz w:val="17"/>
                              </w:rPr>
                            </w:pPr>
                            <w:r>
                              <w:rPr>
                                <w:rFonts w:ascii="Arial" w:hAnsi="Arial"/>
                                <w:color w:val="191919"/>
                                <w:sz w:val="17"/>
                              </w:rPr>
                              <w:t>60%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38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80%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100% of Target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2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120% of Target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120" w:after="0"/>
        <w:jc w:val="left"/>
        <w:rPr>
          <w:rFonts w:ascii="Arial" w:hAnsi="Arial"/>
          <w:color w:val="191919"/>
          <w:sz w:val="18"/>
        </w:rPr>
      </w:pPr>
      <w:r>
        <w:rPr>
          <w:rFonts w:ascii="Arial" w:hAnsi="Arial"/>
          <w:color w:val="191919"/>
          <w:sz w:val="18"/>
        </w:rPr>
        <w:t xml:space="preserve">Consistent with the philosophy and approach used in prior years, the Compensation Committee continued to evaluate performance levels for our AIP payout matrix to ensure an appropriate level of rigor was maintained, and that maximum performance remained a realistic probability to motivate overperformance for shareholders’ benefit.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7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61" descr=""/>
                          <pic:cNvPicPr>
                            <a:picLocks noChangeAspect="1" noChangeArrowheads="1"/>
                          </pic:cNvPicPr>
                        </pic:nvPicPr>
                        <pic:blipFill>
                          <a:blip r:embed="rId26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Executive Compensation Practices </w:t>
      </w:r>
    </w:p>
    <w:p>
      <w:pPr>
        <w:pStyle w:val="TextBody"/>
        <w:bidi w:val="0"/>
        <w:spacing w:before="240" w:after="0"/>
        <w:jc w:val="left"/>
        <w:rPr>
          <w:rFonts w:ascii="Arial" w:hAnsi="Arial"/>
          <w:color w:val="191919"/>
          <w:sz w:val="18"/>
        </w:rPr>
      </w:pPr>
      <w:r>
        <w:rPr>
          <w:rFonts w:ascii="Arial" w:hAnsi="Arial"/>
          <w:color w:val="191919"/>
          <w:sz w:val="18"/>
        </w:rPr>
        <w:t xml:space="preserve">In support of our compensation program objectives, the Compensation Committee maintains a thoughtful approach to our executive compensation program design and governance practices. The below table summarizes these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6"/>
        <w:gridCol w:w="60"/>
        <w:gridCol w:w="4587"/>
        <w:gridCol w:w="60"/>
        <w:gridCol w:w="260"/>
        <w:gridCol w:w="60"/>
        <w:gridCol w:w="411"/>
        <w:gridCol w:w="120"/>
        <w:gridCol w:w="4131"/>
      </w:tblGrid>
      <w:tr>
        <w:trPr/>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1" w:type="dxa"/>
            <w:tcBorders/>
            <w:vAlign w:val="center"/>
          </w:tcPr>
          <w:p>
            <w:pPr>
              <w:pStyle w:val="TableContents"/>
              <w:bidi w:val="0"/>
              <w:spacing w:before="0" w:after="283"/>
              <w:jc w:val="left"/>
              <w:rPr>
                <w:sz w:val="4"/>
                <w:szCs w:val="4"/>
              </w:rPr>
            </w:pPr>
            <w:r>
              <w:rPr>
                <w:sz w:val="4"/>
                <w:szCs w:val="4"/>
              </w:rPr>
            </w:r>
          </w:p>
        </w:tc>
      </w:tr>
      <w:tr>
        <w:trPr/>
        <w:tc>
          <w:tcPr>
            <w:tcW w:w="5163" w:type="dxa"/>
            <w:gridSpan w:val="3"/>
            <w:tcBorders>
              <w:bottom w:val="single" w:sz="8" w:space="0" w:color="7DB655"/>
            </w:tcBorders>
            <w:tcMar>
              <w:bottom w:w="40" w:type="dxa"/>
            </w:tcMar>
            <w:vAlign w:val="center"/>
          </w:tcPr>
          <w:p>
            <w:pPr>
              <w:pStyle w:val="TableContents"/>
              <w:bidi w:val="0"/>
              <w:spacing w:before="0" w:after="0"/>
              <w:jc w:val="left"/>
              <w:rPr>
                <w:rFonts w:ascii="Arial" w:hAnsi="Arial"/>
                <w:b/>
                <w:color w:val="7DB655"/>
                <w:sz w:val="16"/>
              </w:rPr>
            </w:pPr>
            <w:r>
              <w:rPr>
                <w:rFonts w:ascii="Arial" w:hAnsi="Arial"/>
                <w:b/>
                <w:color w:val="7DB655"/>
                <w:sz w:val="16"/>
              </w:rPr>
              <w:t>What We Do</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4662" w:type="dxa"/>
            <w:gridSpan w:val="3"/>
            <w:tcBorders>
              <w:bottom w:val="single" w:sz="8" w:space="0" w:color="7DB655"/>
            </w:tcBorders>
            <w:tcMar>
              <w:bottom w:w="40" w:type="dxa"/>
            </w:tcMar>
            <w:vAlign w:val="center"/>
          </w:tcPr>
          <w:p>
            <w:pPr>
              <w:pStyle w:val="TableContents"/>
              <w:bidi w:val="0"/>
              <w:spacing w:before="0" w:after="283"/>
              <w:jc w:val="left"/>
              <w:rPr>
                <w:b/>
                <w:color w:val="7DB655"/>
              </w:rPr>
            </w:pPr>
            <w:r>
              <w:rPr>
                <w:b/>
                <w:color w:val="7DB655"/>
              </w:rPr>
              <w:t>What We Don’t Do</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t xml:space="preserve">  </w:t>
            </w:r>
            <w:r>
              <w:rPr/>
              <w:drawing>
                <wp:inline distT="0" distB="0" distL="0" distR="0">
                  <wp:extent cx="200660" cy="207010"/>
                  <wp:effectExtent l="0" t="0" r="0" b="0"/>
                  <wp:docPr id="27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62" descr=""/>
                          <pic:cNvPicPr>
                            <a:picLocks noChangeAspect="1" noChangeArrowheads="1"/>
                          </pic:cNvPicPr>
                        </pic:nvPicPr>
                        <pic:blipFill>
                          <a:blip r:embed="rId263"/>
                          <a:stretch>
                            <a:fillRect/>
                          </a:stretch>
                        </pic:blipFill>
                        <pic:spPr bwMode="auto">
                          <a:xfrm>
                            <a:off x="0" y="0"/>
                            <a:ext cx="200660" cy="2070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Promote a strong pay for performance plan design</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191919"/>
              </w:rPr>
            </w:pPr>
            <w:r>
              <w:rPr>
                <w:color w:val="191919"/>
              </w:rPr>
              <w:t> </w:t>
            </w:r>
          </w:p>
        </w:tc>
        <w:tc>
          <w:tcPr>
            <w:tcW w:w="60" w:type="dxa"/>
            <w:tcBorders>
              <w:bottom w:val="single" w:sz="6"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7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63" descr=""/>
                          <pic:cNvPicPr>
                            <a:picLocks noChangeAspect="1" noChangeArrowheads="1"/>
                          </pic:cNvPicPr>
                        </pic:nvPicPr>
                        <pic:blipFill>
                          <a:blip r:embed="rId264"/>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131"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No hedging, pledging, or short sales of stock permitted</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200660" cy="207010"/>
                  <wp:effectExtent l="0" t="0" r="0" b="0"/>
                  <wp:docPr id="27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64" descr=""/>
                          <pic:cNvPicPr>
                            <a:picLocks noChangeAspect="1" noChangeArrowheads="1"/>
                          </pic:cNvPicPr>
                        </pic:nvPicPr>
                        <pic:blipFill>
                          <a:blip r:embed="rId265"/>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Regularly benchmark executive compensation against peers of comparable size, complexity, and industry</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7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65" descr=""/>
                          <pic:cNvPicPr>
                            <a:picLocks noChangeAspect="1" noChangeArrowheads="1"/>
                          </pic:cNvPicPr>
                        </pic:nvPicPr>
                        <pic:blipFill>
                          <a:blip r:embed="rId266"/>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131"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No change in control excise tax gross ups</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200660" cy="207010"/>
                  <wp:effectExtent l="0" t="0" r="0" b="0"/>
                  <wp:docPr id="28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66" descr=""/>
                          <pic:cNvPicPr>
                            <a:picLocks noChangeAspect="1" noChangeArrowheads="1"/>
                          </pic:cNvPicPr>
                        </pic:nvPicPr>
                        <pic:blipFill>
                          <a:blip r:embed="rId267"/>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Maintain meaningful stock ownership guidelines for our directors and executive officers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8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67" descr=""/>
                          <pic:cNvPicPr>
                            <a:picLocks noChangeAspect="1" noChangeArrowheads="1"/>
                          </pic:cNvPicPr>
                        </pic:nvPicPr>
                        <pic:blipFill>
                          <a:blip r:embed="rId268"/>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131"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No option repricing without shareholder approval</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200660" cy="207010"/>
                  <wp:effectExtent l="0" t="0" r="0" b="0"/>
                  <wp:docPr id="28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8" descr=""/>
                          <pic:cNvPicPr>
                            <a:picLocks noChangeAspect="1" noChangeArrowheads="1"/>
                          </pic:cNvPicPr>
                        </pic:nvPicPr>
                        <pic:blipFill>
                          <a:blip r:embed="rId269"/>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Have double trigger requirements on cash payments following a change in control</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8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9" descr=""/>
                          <pic:cNvPicPr>
                            <a:picLocks noChangeAspect="1" noChangeArrowheads="1"/>
                          </pic:cNvPicPr>
                        </pic:nvPicPr>
                        <pic:blipFill>
                          <a:blip r:embed="rId270"/>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131"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No perquisites offered, other than those generally provided to all employees</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200660" cy="207010"/>
                  <wp:effectExtent l="0" t="0" r="0" b="0"/>
                  <wp:docPr id="28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70" descr=""/>
                          <pic:cNvPicPr>
                            <a:picLocks noChangeAspect="1" noChangeArrowheads="1"/>
                          </pic:cNvPicPr>
                        </pic:nvPicPr>
                        <pic:blipFill>
                          <a:blip r:embed="rId271"/>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Conduct an annual compensation risk review</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8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71" descr=""/>
                          <pic:cNvPicPr>
                            <a:picLocks noChangeAspect="1" noChangeArrowheads="1"/>
                          </pic:cNvPicPr>
                        </pic:nvPicPr>
                        <pic:blipFill>
                          <a:blip r:embed="rId272"/>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131"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No dividends paid and no voting rights on unvested performance-based equity awards</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200660" cy="207010"/>
                  <wp:effectExtent l="0" t="0" r="0" b="0"/>
                  <wp:docPr id="28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72" descr=""/>
                          <pic:cNvPicPr>
                            <a:picLocks noChangeAspect="1" noChangeArrowheads="1"/>
                          </pic:cNvPicPr>
                        </pic:nvPicPr>
                        <pic:blipFill>
                          <a:blip r:embed="rId273"/>
                          <a:stretch>
                            <a:fillRect/>
                          </a:stretch>
                        </pic:blipFill>
                        <pic:spPr bwMode="auto">
                          <a:xfrm>
                            <a:off x="0" y="0"/>
                            <a:ext cx="200660" cy="207010"/>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8"/>
              </w:rPr>
            </w:pPr>
            <w:r>
              <w:rPr>
                <w:rFonts w:ascii="Arial" w:hAnsi="Arial"/>
                <w:color w:val="191919"/>
                <w:sz w:val="18"/>
              </w:rPr>
              <w:t>Provide reasonable and standardized benefits upon severance or change in control</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6"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8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73" descr=""/>
                          <pic:cNvPicPr>
                            <a:picLocks noChangeAspect="1" noChangeArrowheads="1"/>
                          </pic:cNvPicPr>
                        </pic:nvPicPr>
                        <pic:blipFill>
                          <a:blip r:embed="rId274"/>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4131"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191919"/>
                <w:sz w:val="18"/>
              </w:rPr>
            </w:pPr>
            <w:r>
              <w:rPr>
                <w:rFonts w:ascii="Arial" w:hAnsi="Arial"/>
                <w:color w:val="191919"/>
                <w:sz w:val="18"/>
              </w:rPr>
              <w:t>No duplication of metrics in annual and long-term incentive plans</w:t>
            </w:r>
          </w:p>
          <w:p>
            <w:pPr>
              <w:pStyle w:val="TableContents"/>
              <w:bidi w:val="0"/>
              <w:spacing w:before="0" w:after="20"/>
              <w:jc w:val="left"/>
              <w:rPr/>
            </w:pPr>
            <w:r>
              <w:rPr/>
              <w:t> </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shd w:fill="EFFCED" w:val="clear"/>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6" w:space="0" w:color="7DB655"/>
            </w:tcBorders>
            <w:shd w:fill="EFFCED" w:val="clear"/>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660" cy="207010"/>
                  <wp:effectExtent l="0" t="0" r="0" b="0"/>
                  <wp:docPr id="28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74" descr=""/>
                          <pic:cNvPicPr>
                            <a:picLocks noChangeAspect="1" noChangeArrowheads="1"/>
                          </pic:cNvPicPr>
                        </pic:nvPicPr>
                        <pic:blipFill>
                          <a:blip r:embed="rId275"/>
                          <a:stretch>
                            <a:fillRect/>
                          </a:stretch>
                        </pic:blipFill>
                        <pic:spPr bwMode="auto">
                          <a:xfrm>
                            <a:off x="0" y="0"/>
                            <a:ext cx="200660" cy="2070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4587" w:type="dxa"/>
            <w:tcBorders>
              <w:bottom w:val="single" w:sz="6"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Engage an independent compensation consultant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7DB655"/>
            </w:tcBorders>
            <w:shd w:fill="EFFCED" w:val="clear"/>
            <w:tcMar>
              <w:bottom w:w="28" w:type="dxa"/>
            </w:tcMar>
            <w:vAlign w:val="center"/>
          </w:tcPr>
          <w:p>
            <w:pPr>
              <w:pStyle w:val="TableContents"/>
              <w:bidi w:val="0"/>
              <w:spacing w:before="0" w:after="283"/>
              <w:jc w:val="left"/>
              <w:rPr/>
            </w:pPr>
            <w:r>
              <w:rPr/>
              <w:t> </w:t>
            </w:r>
          </w:p>
        </w:tc>
        <w:tc>
          <w:tcPr>
            <w:tcW w:w="411" w:type="dxa"/>
            <w:tcBorders>
              <w:bottom w:val="single" w:sz="8" w:space="0" w:color="7DB655"/>
            </w:tcBorders>
            <w:shd w:fill="EFFCED" w:val="clear"/>
            <w:tcMar>
              <w:bottom w:w="60" w:type="dxa"/>
            </w:tcMar>
            <w:vAlign w:val="center"/>
          </w:tcPr>
          <w:p>
            <w:pPr>
              <w:pStyle w:val="TableContents"/>
              <w:bidi w:val="0"/>
              <w:spacing w:before="0" w:after="283"/>
              <w:jc w:val="center"/>
              <w:rPr/>
            </w:pPr>
            <w:r>
              <w:rPr/>
              <w:drawing>
                <wp:inline distT="0" distB="0" distL="0" distR="0">
                  <wp:extent cx="196215" cy="201930"/>
                  <wp:effectExtent l="0" t="0" r="0" b="0"/>
                  <wp:docPr id="28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75" descr=""/>
                          <pic:cNvPicPr>
                            <a:picLocks noChangeAspect="1" noChangeArrowheads="1"/>
                          </pic:cNvPicPr>
                        </pic:nvPicPr>
                        <pic:blipFill>
                          <a:blip r:embed="rId276"/>
                          <a:stretch>
                            <a:fillRect/>
                          </a:stretch>
                        </pic:blipFill>
                        <pic:spPr bwMode="auto">
                          <a:xfrm>
                            <a:off x="0" y="0"/>
                            <a:ext cx="196215" cy="201930"/>
                          </a:xfrm>
                          <a:prstGeom prst="rect">
                            <a:avLst/>
                          </a:prstGeom>
                        </pic:spPr>
                      </pic:pic>
                    </a:graphicData>
                  </a:graphic>
                </wp:inline>
              </w:drawing>
            </w:r>
            <w:r>
              <w:rPr/>
              <w:t xml:space="preserve">  </w:t>
            </w:r>
          </w:p>
        </w:tc>
        <w:tc>
          <w:tcPr>
            <w:tcW w:w="120" w:type="dxa"/>
            <w:tcBorders>
              <w:bottom w:val="single" w:sz="8" w:space="0" w:color="7DB655"/>
            </w:tcBorders>
            <w:tcMar>
              <w:bottom w:w="28" w:type="dxa"/>
            </w:tcMar>
            <w:vAlign w:val="center"/>
          </w:tcPr>
          <w:p>
            <w:pPr>
              <w:pStyle w:val="TableContents"/>
              <w:bidi w:val="0"/>
              <w:spacing w:before="0" w:after="283"/>
              <w:jc w:val="left"/>
              <w:rPr/>
            </w:pPr>
            <w:r>
              <w:rPr/>
              <w:t>  </w:t>
            </w:r>
          </w:p>
        </w:tc>
        <w:tc>
          <w:tcPr>
            <w:tcW w:w="4131" w:type="dxa"/>
            <w:tcBorders>
              <w:bottom w:val="single" w:sz="8"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No supplemental executive retirement plans</w:t>
            </w:r>
          </w:p>
        </w:tc>
      </w:tr>
      <w:tr>
        <w:trPr/>
        <w:tc>
          <w:tcPr>
            <w:tcW w:w="516" w:type="dxa"/>
            <w:tcBorders/>
            <w:shd w:fill="EFFCED" w:val="clear"/>
            <w:vAlign w:val="center"/>
          </w:tcPr>
          <w:p>
            <w:pPr>
              <w:pStyle w:val="TableContents"/>
              <w:bidi w:val="0"/>
              <w:spacing w:before="0" w:after="283"/>
              <w:jc w:val="left"/>
              <w:rPr>
                <w:sz w:val="4"/>
                <w:szCs w:val="4"/>
              </w:rPr>
            </w:pPr>
            <w:r>
              <w:rPr>
                <w:sz w:val="4"/>
                <w:szCs w:val="4"/>
              </w:rPr>
            </w:r>
          </w:p>
        </w:tc>
        <w:tc>
          <w:tcPr>
            <w:tcW w:w="4647" w:type="dxa"/>
            <w:gridSpan w:val="2"/>
            <w:tcBorders/>
            <w:vAlign w:val="center"/>
          </w:tcPr>
          <w:p>
            <w:pPr>
              <w:pStyle w:val="TableContents"/>
              <w:bidi w:val="0"/>
              <w:spacing w:before="0" w:after="283"/>
              <w:jc w:val="left"/>
              <w:rPr>
                <w:sz w:val="4"/>
                <w:szCs w:val="4"/>
              </w:rPr>
            </w:pPr>
            <w:r>
              <w:rPr>
                <w:sz w:val="4"/>
                <w:szCs w:val="4"/>
              </w:rPr>
            </w:r>
          </w:p>
        </w:tc>
        <w:tc>
          <w:tcPr>
            <w:tcW w:w="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4251" w:type="dxa"/>
            <w:gridSpan w:val="2"/>
            <w:tcBorders/>
            <w:vAlign w:val="center"/>
          </w:tcPr>
          <w:p>
            <w:pPr>
              <w:pStyle w:val="TableContents"/>
              <w:bidi w:val="0"/>
              <w:spacing w:before="0" w:after="283"/>
              <w:jc w:val="left"/>
              <w:rPr>
                <w:sz w:val="4"/>
                <w:szCs w:val="4"/>
              </w:rPr>
            </w:pPr>
            <w:r>
              <w:rPr>
                <w:sz w:val="4"/>
                <w:szCs w:val="4"/>
              </w:rPr>
            </w:r>
          </w:p>
        </w:tc>
      </w:tr>
      <w:tr>
        <w:trPr/>
        <w:tc>
          <w:tcPr>
            <w:tcW w:w="516" w:type="dxa"/>
            <w:tcBorders>
              <w:bottom w:val="single" w:sz="8" w:space="0" w:color="7DB655"/>
            </w:tcBorders>
            <w:shd w:fill="EFFCED" w:val="clear"/>
            <w:tcMar>
              <w:bottom w:w="6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0660" cy="207010"/>
                  <wp:effectExtent l="0" t="0" r="0" b="0"/>
                  <wp:docPr id="29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76" descr=""/>
                          <pic:cNvPicPr>
                            <a:picLocks noChangeAspect="1" noChangeArrowheads="1"/>
                          </pic:cNvPicPr>
                        </pic:nvPicPr>
                        <pic:blipFill>
                          <a:blip r:embed="rId277"/>
                          <a:stretch>
                            <a:fillRect/>
                          </a:stretch>
                        </pic:blipFill>
                        <pic:spPr bwMode="auto">
                          <a:xfrm>
                            <a:off x="0" y="0"/>
                            <a:ext cx="200660" cy="2070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4587" w:type="dxa"/>
            <w:tcBorders>
              <w:bottom w:val="single" w:sz="8" w:space="0" w:color="7DB655"/>
            </w:tcBorders>
            <w:tcMar>
              <w:bottom w:w="60" w:type="dxa"/>
            </w:tcMar>
            <w:vAlign w:val="center"/>
          </w:tcPr>
          <w:p>
            <w:pPr>
              <w:pStyle w:val="TableContents"/>
              <w:bidi w:val="0"/>
              <w:spacing w:before="0" w:after="20"/>
              <w:jc w:val="left"/>
              <w:rPr>
                <w:rFonts w:ascii="Arial" w:hAnsi="Arial"/>
                <w:color w:val="191919"/>
                <w:sz w:val="18"/>
              </w:rPr>
            </w:pPr>
            <w:r>
              <w:rPr>
                <w:rFonts w:ascii="Arial" w:hAnsi="Arial"/>
                <w:color w:val="191919"/>
                <w:sz w:val="18"/>
              </w:rPr>
              <w:t>Maintain an incentive compensation clawback policy</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191919"/>
          <w:sz w:val="26"/>
        </w:rPr>
      </w:pPr>
      <w:bookmarkStart w:id="27" w:name="txa136145_4"/>
      <w:bookmarkEnd w:id="27"/>
      <w:r>
        <w:rPr>
          <w:rFonts w:ascii="Arial" w:hAnsi="Arial"/>
          <w:b/>
          <w:color w:val="191919"/>
          <w:sz w:val="26"/>
        </w:rPr>
        <w:t xml:space="preserve">The Compensation Decision Making Process </w:t>
      </w:r>
    </w:p>
    <w:p>
      <w:pPr>
        <w:pStyle w:val="TextBody"/>
        <w:bidi w:val="0"/>
        <w:spacing w:before="240" w:after="0"/>
        <w:jc w:val="left"/>
        <w:rPr>
          <w:rFonts w:ascii="Arial" w:hAnsi="Arial"/>
          <w:b/>
          <w:color w:val="0A7DAC"/>
          <w:sz w:val="25"/>
        </w:rPr>
      </w:pPr>
      <w:r>
        <w:rPr>
          <w:rFonts w:ascii="Arial" w:hAnsi="Arial"/>
          <w:b/>
          <w:color w:val="0A7DAC"/>
          <w:sz w:val="25"/>
        </w:rPr>
        <w:t xml:space="preserve">How Compensation Decisions Are Made for Our NEOs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200275"/>
            <wp:effectExtent l="0" t="0" r="0" b="0"/>
            <wp:docPr id="29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77" descr=""/>
                    <pic:cNvPicPr>
                      <a:picLocks noChangeAspect="1" noChangeArrowheads="1"/>
                    </pic:cNvPicPr>
                  </pic:nvPicPr>
                  <pic:blipFill>
                    <a:blip r:embed="rId278"/>
                    <a:stretch>
                      <a:fillRect/>
                    </a:stretch>
                  </pic:blipFill>
                  <pic:spPr bwMode="auto">
                    <a:xfrm>
                      <a:off x="0" y="0"/>
                      <a:ext cx="7810500" cy="2200275"/>
                    </a:xfrm>
                    <a:prstGeom prst="rect">
                      <a:avLst/>
                    </a:prstGeom>
                  </pic:spPr>
                </pic:pic>
              </a:graphicData>
            </a:graphic>
          </wp:inline>
        </w:drawing>
      </w:r>
      <w:r>
        <w:rPr/>
        <w:t xml:space="preserve">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9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8" descr=""/>
                          <pic:cNvPicPr>
                            <a:picLocks noChangeAspect="1" noChangeArrowheads="1"/>
                          </pic:cNvPicPr>
                        </pic:nvPicPr>
                        <pic:blipFill>
                          <a:blip r:embed="rId27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Roles and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7"/>
        <w:gridCol w:w="120"/>
        <w:gridCol w:w="3654"/>
        <w:gridCol w:w="120"/>
        <w:gridCol w:w="3604"/>
      </w:tblGrid>
      <w:tr>
        <w:trPr/>
        <w:tc>
          <w:tcPr>
            <w:tcW w:w="27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2707" w:type="dxa"/>
            <w:tcBorders>
              <w:right w:val="single" w:sz="6" w:space="0" w:color="000000"/>
            </w:tcBorders>
            <w:shd w:fill="7DB655" w:val="clear"/>
            <w:tcMar>
              <w:right w:w="28" w:type="dxa"/>
            </w:tcMar>
            <w:vAlign w:val="center"/>
          </w:tcPr>
          <w:p>
            <w:pPr>
              <w:pStyle w:val="TableContents"/>
              <w:bidi w:val="0"/>
              <w:spacing w:before="0" w:after="283"/>
              <w:jc w:val="left"/>
              <w:rPr/>
            </w:pPr>
            <w:r>
              <w:rPr/>
              <w:t> </w:t>
            </w:r>
          </w:p>
        </w:tc>
        <w:tc>
          <w:tcPr>
            <w:tcW w:w="120" w:type="dxa"/>
            <w:tcBorders/>
            <w:shd w:fill="0A7DAC" w:val="clear"/>
            <w:vAlign w:val="center"/>
          </w:tcPr>
          <w:p>
            <w:pPr>
              <w:pStyle w:val="TableContents"/>
              <w:bidi w:val="0"/>
              <w:spacing w:before="0" w:after="283"/>
              <w:jc w:val="left"/>
              <w:rPr/>
            </w:pPr>
            <w:r>
              <w:rPr/>
              <w:t>  </w:t>
            </w:r>
          </w:p>
        </w:tc>
        <w:tc>
          <w:tcPr>
            <w:tcW w:w="3654" w:type="dxa"/>
            <w:tcBorders>
              <w:right w:val="single" w:sz="6" w:space="0" w:color="000000"/>
            </w:tcBorders>
            <w:shd w:fill="0A7DAC" w:val="clear"/>
            <w:tcMar>
              <w:right w:w="28" w:type="dxa"/>
            </w:tcMar>
            <w:vAlign w:val="center"/>
          </w:tcPr>
          <w:p>
            <w:pPr>
              <w:pStyle w:val="TableContents"/>
              <w:bidi w:val="0"/>
              <w:spacing w:before="0" w:after="283"/>
              <w:jc w:val="left"/>
              <w:rPr/>
            </w:pPr>
            <w:r>
              <w:rPr/>
              <w:t> </w:t>
            </w:r>
          </w:p>
        </w:tc>
        <w:tc>
          <w:tcPr>
            <w:tcW w:w="120" w:type="dxa"/>
            <w:tcBorders/>
            <w:shd w:fill="FF9119" w:val="clear"/>
            <w:vAlign w:val="center"/>
          </w:tcPr>
          <w:p>
            <w:pPr>
              <w:pStyle w:val="TableContents"/>
              <w:bidi w:val="0"/>
              <w:spacing w:before="0" w:after="283"/>
              <w:jc w:val="left"/>
              <w:rPr/>
            </w:pPr>
            <w:r>
              <w:rPr/>
              <w:t>  </w:t>
            </w:r>
          </w:p>
        </w:tc>
        <w:tc>
          <w:tcPr>
            <w:tcW w:w="3604" w:type="dxa"/>
            <w:tcBorders/>
            <w:shd w:fill="FF9119" w:val="clear"/>
            <w:vAlign w:val="center"/>
          </w:tcPr>
          <w:p>
            <w:pPr>
              <w:pStyle w:val="TableContents"/>
              <w:bidi w:val="0"/>
              <w:spacing w:before="0" w:after="283"/>
              <w:jc w:val="left"/>
              <w:rPr>
                <w:sz w:val="4"/>
                <w:szCs w:val="4"/>
              </w:rPr>
            </w:pPr>
            <w:r>
              <w:rPr>
                <w:sz w:val="4"/>
                <w:szCs w:val="4"/>
              </w:rPr>
            </w:r>
          </w:p>
        </w:tc>
      </w:tr>
      <w:tr>
        <w:trPr/>
        <w:tc>
          <w:tcPr>
            <w:tcW w:w="2707" w:type="dxa"/>
            <w:tcBorders>
              <w:right w:val="single" w:sz="6" w:space="0" w:color="000000"/>
            </w:tcBorders>
            <w:shd w:fill="F5F9F3" w:val="clear"/>
            <w:tcMar>
              <w:right w:w="28" w:type="dxa"/>
            </w:tcMar>
            <w:vAlign w:val="center"/>
          </w:tcPr>
          <w:p>
            <w:pPr>
              <w:pStyle w:val="TableContents"/>
              <w:bidi w:val="0"/>
              <w:spacing w:before="0" w:after="283"/>
              <w:jc w:val="left"/>
              <w:rPr/>
            </w:pPr>
            <w:r>
              <w:rPr/>
              <w:t> </w:t>
            </w:r>
          </w:p>
        </w:tc>
        <w:tc>
          <w:tcPr>
            <w:tcW w:w="3774" w:type="dxa"/>
            <w:gridSpan w:val="2"/>
            <w:tcBorders>
              <w:right w:val="single" w:sz="6" w:space="0" w:color="000000"/>
            </w:tcBorders>
            <w:shd w:fill="EDF5F9" w:val="clear"/>
            <w:tcMar>
              <w:right w:w="28" w:type="dxa"/>
            </w:tcMar>
            <w:vAlign w:val="center"/>
          </w:tcPr>
          <w:p>
            <w:pPr>
              <w:pStyle w:val="TableContents"/>
              <w:bidi w:val="0"/>
              <w:spacing w:before="0" w:after="283"/>
              <w:jc w:val="left"/>
              <w:rPr/>
            </w:pPr>
            <w:r>
              <w:rPr/>
              <w:t> </w:t>
            </w:r>
          </w:p>
        </w:tc>
        <w:tc>
          <w:tcPr>
            <w:tcW w:w="3724" w:type="dxa"/>
            <w:gridSpan w:val="2"/>
            <w:tcBorders/>
            <w:shd w:fill="FFF7EE" w:val="clear"/>
            <w:vAlign w:val="center"/>
          </w:tcPr>
          <w:p>
            <w:pPr>
              <w:pStyle w:val="TableContents"/>
              <w:bidi w:val="0"/>
              <w:spacing w:before="0" w:after="283"/>
              <w:jc w:val="left"/>
              <w:rPr>
                <w:sz w:val="4"/>
                <w:szCs w:val="4"/>
              </w:rPr>
            </w:pPr>
            <w:r>
              <w:rPr>
                <w:sz w:val="4"/>
                <w:szCs w:val="4"/>
              </w:rPr>
            </w:r>
          </w:p>
        </w:tc>
      </w:tr>
      <w:tr>
        <w:trPr/>
        <w:tc>
          <w:tcPr>
            <w:tcW w:w="2707" w:type="dxa"/>
            <w:tcBorders>
              <w:right w:val="single" w:sz="6" w:space="0" w:color="000000"/>
            </w:tcBorders>
            <w:shd w:fill="F5F9F3" w:val="clear"/>
            <w:tcMar>
              <w:right w:w="28" w:type="dxa"/>
            </w:tcMar>
            <w:vAlign w:val="center"/>
          </w:tcPr>
          <w:p>
            <w:pPr>
              <w:pStyle w:val="TableContents"/>
              <w:bidi w:val="0"/>
              <w:spacing w:before="0" w:after="0"/>
              <w:jc w:val="left"/>
              <w:rPr>
                <w:rFonts w:ascii="Arial" w:hAnsi="Arial"/>
                <w:b/>
                <w:color w:val="7DB655"/>
                <w:sz w:val="25"/>
              </w:rPr>
            </w:pPr>
            <w:r>
              <w:rPr>
                <w:rFonts w:ascii="Arial" w:hAnsi="Arial"/>
                <w:b/>
                <w:color w:val="7DB655"/>
                <w:sz w:val="25"/>
              </w:rPr>
              <w:t>Compensation</w:t>
            </w:r>
          </w:p>
          <w:p>
            <w:pPr>
              <w:pStyle w:val="TableContents"/>
              <w:bidi w:val="0"/>
              <w:spacing w:before="0" w:after="20"/>
              <w:jc w:val="left"/>
              <w:rPr>
                <w:rFonts w:ascii="Arial" w:hAnsi="Arial"/>
                <w:b/>
                <w:color w:val="7DB655"/>
                <w:sz w:val="25"/>
              </w:rPr>
            </w:pPr>
            <w:r>
              <w:rPr>
                <w:rFonts w:ascii="Arial" w:hAnsi="Arial"/>
                <w:b/>
                <w:color w:val="7DB655"/>
                <w:sz w:val="25"/>
              </w:rPr>
              <w:t>Committee</w:t>
            </w:r>
          </w:p>
        </w:tc>
        <w:tc>
          <w:tcPr>
            <w:tcW w:w="120" w:type="dxa"/>
            <w:tcBorders/>
            <w:shd w:fill="EDF5F9" w:val="clear"/>
            <w:vAlign w:val="center"/>
          </w:tcPr>
          <w:p>
            <w:pPr>
              <w:pStyle w:val="TableContents"/>
              <w:bidi w:val="0"/>
              <w:spacing w:before="0" w:after="283"/>
              <w:jc w:val="left"/>
              <w:rPr/>
            </w:pPr>
            <w:r>
              <w:rPr/>
              <w:t>  </w:t>
            </w:r>
          </w:p>
        </w:tc>
        <w:tc>
          <w:tcPr>
            <w:tcW w:w="3654" w:type="dxa"/>
            <w:tcBorders>
              <w:right w:val="single" w:sz="6" w:space="0" w:color="000000"/>
            </w:tcBorders>
            <w:shd w:fill="EDF5F9" w:val="clear"/>
            <w:tcMar>
              <w:right w:w="28" w:type="dxa"/>
            </w:tcMar>
            <w:vAlign w:val="center"/>
          </w:tcPr>
          <w:p>
            <w:pPr>
              <w:pStyle w:val="TableContents"/>
              <w:bidi w:val="0"/>
              <w:spacing w:before="0" w:after="283"/>
              <w:jc w:val="left"/>
              <w:rPr>
                <w:b/>
                <w:color w:val="0A7DAC"/>
              </w:rPr>
            </w:pPr>
            <w:r>
              <w:rPr>
                <w:b/>
                <w:color w:val="0A7DAC"/>
              </w:rPr>
              <w:t>CEO and Management</w:t>
            </w:r>
          </w:p>
        </w:tc>
        <w:tc>
          <w:tcPr>
            <w:tcW w:w="120" w:type="dxa"/>
            <w:tcBorders/>
            <w:shd w:fill="FFF7EE" w:val="clear"/>
            <w:vAlign w:val="center"/>
          </w:tcPr>
          <w:p>
            <w:pPr>
              <w:pStyle w:val="TableContents"/>
              <w:bidi w:val="0"/>
              <w:spacing w:before="0" w:after="283"/>
              <w:jc w:val="left"/>
              <w:rPr/>
            </w:pPr>
            <w:r>
              <w:rPr/>
              <w:t>  </w:t>
            </w:r>
          </w:p>
        </w:tc>
        <w:tc>
          <w:tcPr>
            <w:tcW w:w="3604" w:type="dxa"/>
            <w:tcBorders/>
            <w:shd w:fill="FFF7EE" w:val="clear"/>
            <w:vAlign w:val="center"/>
          </w:tcPr>
          <w:p>
            <w:pPr>
              <w:pStyle w:val="TableContents"/>
              <w:bidi w:val="0"/>
              <w:spacing w:before="0" w:after="0"/>
              <w:jc w:val="left"/>
              <w:rPr>
                <w:rFonts w:ascii="Arial" w:hAnsi="Arial"/>
                <w:b/>
                <w:color w:val="FF9119"/>
                <w:sz w:val="25"/>
              </w:rPr>
            </w:pPr>
            <w:r>
              <w:rPr>
                <w:rFonts w:ascii="Arial" w:hAnsi="Arial"/>
                <w:b/>
                <w:color w:val="FF9119"/>
                <w:sz w:val="25"/>
              </w:rPr>
              <w:t>Independent</w:t>
            </w:r>
          </w:p>
          <w:p>
            <w:pPr>
              <w:pStyle w:val="TableContents"/>
              <w:bidi w:val="0"/>
              <w:spacing w:before="0" w:after="0"/>
              <w:jc w:val="left"/>
              <w:rPr>
                <w:rFonts w:ascii="Arial" w:hAnsi="Arial"/>
                <w:b/>
                <w:color w:val="FF9119"/>
                <w:sz w:val="25"/>
              </w:rPr>
            </w:pPr>
            <w:r>
              <w:rPr>
                <w:rFonts w:ascii="Arial" w:hAnsi="Arial"/>
                <w:b/>
                <w:color w:val="FF9119"/>
                <w:sz w:val="25"/>
              </w:rPr>
              <w:t>Compensation</w:t>
            </w:r>
          </w:p>
          <w:p>
            <w:pPr>
              <w:pStyle w:val="TableContents"/>
              <w:bidi w:val="0"/>
              <w:spacing w:before="0" w:after="20"/>
              <w:jc w:val="left"/>
              <w:rPr>
                <w:rFonts w:ascii="Arial" w:hAnsi="Arial"/>
                <w:b/>
                <w:color w:val="FF9119"/>
                <w:sz w:val="25"/>
              </w:rPr>
            </w:pPr>
            <w:r>
              <w:rPr>
                <w:rFonts w:ascii="Arial" w:hAnsi="Arial"/>
                <w:b/>
                <w:color w:val="FF9119"/>
                <w:sz w:val="25"/>
              </w:rPr>
              <w:t>Consultant</w:t>
            </w:r>
          </w:p>
        </w:tc>
      </w:tr>
      <w:tr>
        <w:trPr/>
        <w:tc>
          <w:tcPr>
            <w:tcW w:w="2707" w:type="dxa"/>
            <w:tcBorders>
              <w:right w:val="single" w:sz="6" w:space="0" w:color="000000"/>
            </w:tcBorders>
            <w:tcMar>
              <w:right w:w="28" w:type="dxa"/>
            </w:tcMar>
            <w:vAlign w:val="center"/>
          </w:tcPr>
          <w:p>
            <w:pPr>
              <w:pStyle w:val="TableContents"/>
              <w:bidi w:val="0"/>
              <w:spacing w:before="0" w:after="283"/>
              <w:jc w:val="left"/>
              <w:rPr/>
            </w:pPr>
            <w:r>
              <w:rPr/>
              <w:t> </w:t>
            </w:r>
          </w:p>
        </w:tc>
        <w:tc>
          <w:tcPr>
            <w:tcW w:w="3774"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2707" w:type="dxa"/>
            <w:tcBorders>
              <w:bottom w:val="single" w:sz="6" w:space="0" w:color="000000"/>
              <w:right w:val="single" w:sz="6" w:space="0" w:color="000000"/>
            </w:tcBorders>
            <w:tcMar>
              <w:bottom w:w="120" w:type="dxa"/>
              <w:right w:w="28" w:type="dxa"/>
            </w:tcMar>
            <w:vAlign w:val="center"/>
          </w:tcPr>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Oversees the Company’s compensation and benefit programs, including the AIP and LTIP</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Administers the executive compensation program</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Evaluates NEO performance and sets target compensation levels for all NEOs</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Approves incentive plan performance metrics and targets</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Oversees the assessment of compensation program risks</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Oversees management’s leadership development and succession planning programs</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Engages the independent compensation consultant</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Oversees stock ownership guidelines and clawback policy</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Recommends changes in director compensation for Board approval</w:t>
            </w:r>
          </w:p>
          <w:p>
            <w:pPr>
              <w:pStyle w:val="TableContents"/>
              <w:bidi w:val="0"/>
              <w:spacing w:before="0" w:after="0"/>
              <w:jc w:val="left"/>
              <w:rPr>
                <w:color w:val="8ABD66"/>
              </w:rPr>
            </w:pPr>
            <w:r>
              <w:rPr>
                <w:color w:val="8ABD66"/>
              </w:rPr>
              <w:t>•</w:t>
            </w:r>
          </w:p>
          <w:p>
            <w:pPr>
              <w:pStyle w:val="TableContents"/>
              <w:bidi w:val="0"/>
              <w:spacing w:before="0" w:after="0"/>
              <w:jc w:val="left"/>
              <w:rPr>
                <w:rFonts w:ascii="Arial" w:hAnsi="Arial"/>
                <w:color w:val="191919"/>
                <w:sz w:val="18"/>
              </w:rPr>
            </w:pPr>
            <w:r>
              <w:rPr>
                <w:rFonts w:ascii="Arial" w:hAnsi="Arial"/>
                <w:color w:val="191919"/>
                <w:sz w:val="18"/>
              </w:rPr>
              <w:t>Composed entirely of independent, non-employee directors, per NYSE requirements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54" w:type="dxa"/>
            <w:tcBorders>
              <w:bottom w:val="single" w:sz="6" w:space="0" w:color="000000"/>
              <w:right w:val="single" w:sz="6" w:space="0" w:color="000000"/>
            </w:tcBorders>
            <w:tcMar>
              <w:bottom w:w="120" w:type="dxa"/>
              <w:right w:w="28" w:type="dxa"/>
            </w:tcMar>
            <w:vAlign w:val="center"/>
          </w:tcPr>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18"/>
              </w:rPr>
            </w:pPr>
            <w:r>
              <w:rPr>
                <w:rFonts w:ascii="Arial" w:hAnsi="Arial"/>
                <w:color w:val="191919"/>
                <w:sz w:val="18"/>
              </w:rPr>
              <w:t>CEO evaluates other NEO performance and makes recommendations to the Compensation Committee on compensation levels in light of performance and market benchmarks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18"/>
              </w:rPr>
            </w:pPr>
            <w:r>
              <w:rPr>
                <w:rFonts w:ascii="Arial" w:hAnsi="Arial"/>
                <w:color w:val="191919"/>
                <w:sz w:val="18"/>
              </w:rPr>
              <w:t>Other members of the executive team, as appropriate, advise the Compensation Committee on compensation program elements, market practices, and compliance matters</w:t>
            </w:r>
          </w:p>
          <w:p>
            <w:pPr>
              <w:pStyle w:val="TableContents"/>
              <w:bidi w:val="0"/>
              <w:spacing w:before="0" w:after="0"/>
              <w:jc w:val="left"/>
              <w:rPr>
                <w:color w:val="228AB4"/>
              </w:rPr>
            </w:pPr>
            <w:r>
              <w:rPr>
                <w:color w:val="228AB4"/>
              </w:rPr>
              <w:t>•</w:t>
            </w:r>
          </w:p>
          <w:p>
            <w:pPr>
              <w:pStyle w:val="TableContents"/>
              <w:bidi w:val="0"/>
              <w:spacing w:before="0" w:after="0"/>
              <w:jc w:val="left"/>
              <w:rPr>
                <w:rFonts w:ascii="Arial" w:hAnsi="Arial"/>
                <w:color w:val="191919"/>
                <w:sz w:val="18"/>
              </w:rPr>
            </w:pPr>
            <w:r>
              <w:rPr>
                <w:rFonts w:ascii="Arial" w:hAnsi="Arial"/>
                <w:color w:val="191919"/>
                <w:sz w:val="18"/>
              </w:rPr>
              <w:t>No member of management participates in discussions concerning his or her compensation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604" w:type="dxa"/>
            <w:tcBorders>
              <w:bottom w:val="single" w:sz="6" w:space="0" w:color="000000"/>
            </w:tcBorders>
            <w:tcMar>
              <w:bottom w:w="120" w:type="dxa"/>
            </w:tcMar>
            <w:vAlign w:val="center"/>
          </w:tcPr>
          <w:p>
            <w:pPr>
              <w:pStyle w:val="TableContents"/>
              <w:bidi w:val="0"/>
              <w:spacing w:before="0" w:after="0"/>
              <w:jc w:val="left"/>
              <w:rPr>
                <w:color w:val="FF9C30"/>
              </w:rPr>
            </w:pPr>
            <w:r>
              <w:rPr>
                <w:color w:val="FF9C30"/>
              </w:rPr>
              <w:t>•</w:t>
            </w:r>
          </w:p>
          <w:p>
            <w:pPr>
              <w:pStyle w:val="TableContents"/>
              <w:bidi w:val="0"/>
              <w:spacing w:before="0" w:after="0"/>
              <w:jc w:val="left"/>
              <w:rPr>
                <w:rFonts w:ascii="Arial" w:hAnsi="Arial"/>
                <w:color w:val="191919"/>
                <w:sz w:val="18"/>
              </w:rPr>
            </w:pPr>
            <w:r>
              <w:rPr>
                <w:rFonts w:ascii="Arial" w:hAnsi="Arial"/>
                <w:color w:val="191919"/>
                <w:sz w:val="18"/>
              </w:rPr>
              <w:t>Engaged by, and reports to, the Compensation Committee</w:t>
            </w:r>
          </w:p>
          <w:p>
            <w:pPr>
              <w:pStyle w:val="TableContents"/>
              <w:bidi w:val="0"/>
              <w:spacing w:before="0" w:after="0"/>
              <w:jc w:val="left"/>
              <w:rPr>
                <w:color w:val="FF9C30"/>
              </w:rPr>
            </w:pPr>
            <w:r>
              <w:rPr>
                <w:color w:val="FF9C30"/>
              </w:rPr>
              <w:t>•</w:t>
            </w:r>
          </w:p>
          <w:p>
            <w:pPr>
              <w:pStyle w:val="TableContents"/>
              <w:bidi w:val="0"/>
              <w:spacing w:before="0" w:after="0"/>
              <w:jc w:val="left"/>
              <w:rPr>
                <w:rFonts w:ascii="Arial" w:hAnsi="Arial"/>
                <w:color w:val="191919"/>
                <w:sz w:val="18"/>
              </w:rPr>
            </w:pPr>
            <w:r>
              <w:rPr>
                <w:rFonts w:ascii="Arial" w:hAnsi="Arial"/>
                <w:color w:val="191919"/>
                <w:sz w:val="18"/>
              </w:rPr>
              <w:t>Assists and advises the Compensation Committee on aspects of compensation program objectives, principles, and design</w:t>
            </w:r>
          </w:p>
          <w:p>
            <w:pPr>
              <w:pStyle w:val="TableContents"/>
              <w:bidi w:val="0"/>
              <w:spacing w:before="0" w:after="0"/>
              <w:jc w:val="left"/>
              <w:rPr>
                <w:color w:val="FF9C30"/>
              </w:rPr>
            </w:pPr>
            <w:r>
              <w:rPr>
                <w:color w:val="FF9C30"/>
              </w:rPr>
              <w:t>•</w:t>
            </w:r>
          </w:p>
          <w:p>
            <w:pPr>
              <w:pStyle w:val="TableContents"/>
              <w:bidi w:val="0"/>
              <w:spacing w:before="0" w:after="0"/>
              <w:jc w:val="left"/>
              <w:rPr>
                <w:rFonts w:ascii="Arial" w:hAnsi="Arial"/>
                <w:color w:val="191919"/>
                <w:sz w:val="18"/>
              </w:rPr>
            </w:pPr>
            <w:r>
              <w:rPr>
                <w:rFonts w:ascii="Arial" w:hAnsi="Arial"/>
                <w:color w:val="191919"/>
                <w:sz w:val="18"/>
              </w:rPr>
              <w:t>Advises the Compensation Committee on selection of competitive market benchmarking data, including the Compensation Peer Group (as defined below)</w:t>
            </w:r>
          </w:p>
          <w:p>
            <w:pPr>
              <w:pStyle w:val="TableContents"/>
              <w:bidi w:val="0"/>
              <w:spacing w:before="0" w:after="0"/>
              <w:jc w:val="left"/>
              <w:rPr>
                <w:color w:val="FF9C30"/>
              </w:rPr>
            </w:pPr>
            <w:r>
              <w:rPr>
                <w:color w:val="FF9C30"/>
              </w:rPr>
              <w:t>•</w:t>
            </w:r>
          </w:p>
          <w:p>
            <w:pPr>
              <w:pStyle w:val="TableContents"/>
              <w:bidi w:val="0"/>
              <w:spacing w:before="0" w:after="0"/>
              <w:jc w:val="left"/>
              <w:rPr>
                <w:rFonts w:ascii="Arial" w:hAnsi="Arial"/>
                <w:color w:val="191919"/>
                <w:sz w:val="18"/>
              </w:rPr>
            </w:pPr>
            <w:r>
              <w:rPr>
                <w:rFonts w:ascii="Arial" w:hAnsi="Arial"/>
                <w:color w:val="191919"/>
                <w:sz w:val="18"/>
              </w:rPr>
              <w:t>Analyzes competitive market data in the context of the Company’s compensation program and provides recommendations to the Compensation Committee</w:t>
            </w:r>
          </w:p>
          <w:p>
            <w:pPr>
              <w:pStyle w:val="TableContents"/>
              <w:bidi w:val="0"/>
              <w:spacing w:before="0" w:after="0"/>
              <w:jc w:val="left"/>
              <w:rPr>
                <w:color w:val="FF9C30"/>
              </w:rPr>
            </w:pPr>
            <w:r>
              <w:rPr>
                <w:color w:val="FF9C30"/>
              </w:rPr>
              <w:t>•</w:t>
            </w:r>
          </w:p>
          <w:p>
            <w:pPr>
              <w:pStyle w:val="TableContents"/>
              <w:bidi w:val="0"/>
              <w:spacing w:before="0" w:after="0"/>
              <w:jc w:val="left"/>
              <w:rPr>
                <w:rFonts w:ascii="Arial" w:hAnsi="Arial"/>
                <w:color w:val="191919"/>
                <w:sz w:val="18"/>
              </w:rPr>
            </w:pPr>
            <w:r>
              <w:rPr>
                <w:rFonts w:ascii="Arial" w:hAnsi="Arial"/>
                <w:color w:val="191919"/>
                <w:sz w:val="18"/>
              </w:rPr>
              <w:t>Provides compensation program risk assessment</w:t>
            </w:r>
          </w:p>
          <w:p>
            <w:pPr>
              <w:pStyle w:val="TableContents"/>
              <w:bidi w:val="0"/>
              <w:spacing w:before="0" w:after="0"/>
              <w:jc w:val="left"/>
              <w:rPr>
                <w:color w:val="FF9C30"/>
              </w:rPr>
            </w:pPr>
            <w:r>
              <w:rPr>
                <w:color w:val="FF9C30"/>
              </w:rPr>
              <w:t>•</w:t>
            </w:r>
          </w:p>
          <w:p>
            <w:pPr>
              <w:pStyle w:val="TableContents"/>
              <w:bidi w:val="0"/>
              <w:spacing w:before="0" w:after="0"/>
              <w:jc w:val="left"/>
              <w:rPr>
                <w:rFonts w:ascii="Arial" w:hAnsi="Arial"/>
                <w:color w:val="191919"/>
                <w:sz w:val="18"/>
              </w:rPr>
            </w:pPr>
            <w:r>
              <w:rPr>
                <w:rFonts w:ascii="Arial" w:hAnsi="Arial"/>
                <w:color w:val="191919"/>
                <w:sz w:val="18"/>
              </w:rPr>
              <w:t>Provides no other services to the Company</w:t>
            </w:r>
          </w:p>
        </w:tc>
      </w:tr>
    </w:tbl>
    <w:p>
      <w:pPr>
        <w:pStyle w:val="TextBody"/>
        <w:bidi w:val="0"/>
        <w:spacing w:before="360" w:after="0"/>
        <w:jc w:val="left"/>
        <w:rPr>
          <w:rFonts w:ascii="Arial" w:hAnsi="Arial"/>
          <w:b/>
          <w:color w:val="0A7DAC"/>
          <w:sz w:val="25"/>
        </w:rPr>
      </w:pPr>
      <w:r>
        <w:rPr>
          <w:rFonts w:ascii="Arial" w:hAnsi="Arial"/>
          <w:b/>
          <w:color w:val="0A7DAC"/>
          <w:sz w:val="25"/>
        </w:rPr>
        <w:t xml:space="preserve">Review of Executive Compensation Program Effectiveness </w:t>
      </w:r>
    </w:p>
    <w:p>
      <w:pPr>
        <w:pStyle w:val="TextBody"/>
        <w:bidi w:val="0"/>
        <w:spacing w:before="240" w:after="0"/>
        <w:jc w:val="left"/>
        <w:rPr>
          <w:rFonts w:ascii="Arial" w:hAnsi="Arial"/>
          <w:color w:val="191919"/>
          <w:sz w:val="18"/>
        </w:rPr>
      </w:pPr>
      <w:r>
        <w:rPr>
          <w:rFonts w:ascii="Arial" w:hAnsi="Arial"/>
          <w:color w:val="191919"/>
          <w:sz w:val="18"/>
        </w:rPr>
        <w:t xml:space="preserve">As shown above, the Compensation Committee annually conducts a comprehensive review of all components of our executive compensation program. This review is facilitated by management with the assistance of the independent compensation consultant and is influenced by feedback from our shareholders. The Compensation Committee continually evaluates whether our executive compensation program is aligned with and supports the Company’s strategic objectives, and it considers evolving market practices in the general industry, external regulatory requirements, shareholder feedback, the competitive market for executives, and our compensation program objectives and principles. In conducting its review, the Compensation Committee assesses all information related to each executive officer’s compensation, including base salary, target short-term and long-term incentives, and retirement, health and welfare benefits.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29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9" descr=""/>
                          <pic:cNvPicPr>
                            <a:picLocks noChangeAspect="1" noChangeArrowheads="1"/>
                          </pic:cNvPicPr>
                        </pic:nvPicPr>
                        <pic:blipFill>
                          <a:blip r:embed="rId280"/>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Market Competitiveness and External Benchmarking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regularly reviews relevant market compensation survey data to evaluate the market competitiveness of our executive compensation program. This specifically furthers our “Attract and Retain Key Leaders” compensation program objective and enables the achievement of our other objectives. The Compensation Committee uses survey data provided by its independent compensation consultant, which consists of compensation data for comparable executive positions within a group of peer companies (the “Compensation Peer Group”). The data also includes data from comparably sized companies within the broader market, as candidates for executive roles, as well as market opportunities for our current executives, are not limited to companies in our industry sectors. </w:t>
      </w:r>
    </w:p>
    <w:p>
      <w:pPr>
        <w:pStyle w:val="TextBody"/>
        <w:bidi w:val="0"/>
        <w:spacing w:before="240" w:after="0"/>
        <w:jc w:val="left"/>
        <w:rPr>
          <w:rFonts w:ascii="Arial" w:hAnsi="Arial"/>
          <w:color w:val="191919"/>
          <w:sz w:val="18"/>
        </w:rPr>
      </w:pPr>
      <w:r>
        <w:rPr>
          <w:rFonts w:ascii="Arial" w:hAnsi="Arial"/>
          <w:color w:val="191919"/>
          <w:sz w:val="18"/>
        </w:rPr>
        <w:t xml:space="preserve">The process for selecting the members of the Compensation Peer Group is shown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895600"/>
            <wp:effectExtent l="0" t="0" r="0" b="0"/>
            <wp:docPr id="29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80" descr=""/>
                    <pic:cNvPicPr>
                      <a:picLocks noChangeAspect="1" noChangeArrowheads="1"/>
                    </pic:cNvPicPr>
                  </pic:nvPicPr>
                  <pic:blipFill>
                    <a:blip r:embed="rId281"/>
                    <a:stretch>
                      <a:fillRect/>
                    </a:stretch>
                  </pic:blipFill>
                  <pic:spPr bwMode="auto">
                    <a:xfrm>
                      <a:off x="0" y="0"/>
                      <a:ext cx="7810500" cy="2895600"/>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The Compensation Peer Group used to evaluate executive compensation in fiscal 2026 was as follows: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615"/>
        <w:gridCol w:w="120"/>
        <w:gridCol w:w="231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2615" w:type="dxa"/>
            <w:tcBorders>
              <w:top w:val="single" w:sz="8" w:space="0" w:color="7DB655"/>
            </w:tcBorders>
            <w:tcMar>
              <w:top w:w="28" w:type="dxa"/>
            </w:tcMar>
            <w:vAlign w:val="center"/>
          </w:tcPr>
          <w:p>
            <w:pPr>
              <w:pStyle w:val="TableContents"/>
              <w:bidi w:val="0"/>
              <w:spacing w:before="0" w:after="283"/>
              <w:jc w:val="left"/>
              <w:rPr/>
            </w:pPr>
            <w:r>
              <w:rPr/>
              <w:t> </w:t>
            </w:r>
          </w:p>
        </w:tc>
        <w:tc>
          <w:tcPr>
            <w:tcW w:w="2435" w:type="dxa"/>
            <w:gridSpan w:val="2"/>
            <w:tcBorders>
              <w:top w:val="single" w:sz="8" w:space="0" w:color="7DB655"/>
            </w:tcBorders>
            <w:tcMar>
              <w:top w:w="28" w:type="dxa"/>
            </w:tcMar>
            <w:vAlign w:val="center"/>
          </w:tcPr>
          <w:p>
            <w:pPr>
              <w:pStyle w:val="TableContents"/>
              <w:bidi w:val="0"/>
              <w:spacing w:before="0" w:after="283"/>
              <w:jc w:val="left"/>
              <w:rPr/>
            </w:pPr>
            <w:r>
              <w:rPr/>
              <w:t> </w:t>
            </w:r>
          </w:p>
        </w:tc>
      </w:tr>
      <w:tr>
        <w:trPr/>
        <w:tc>
          <w:tcPr>
            <w:tcW w:w="2615" w:type="dxa"/>
            <w:tcBorders>
              <w:bottom w:val="single" w:sz="16" w:space="0" w:color="7DB655"/>
            </w:tcBorders>
            <w:tcMar>
              <w:bottom w:w="40" w:type="dxa"/>
            </w:tcMar>
            <w:vAlign w:val="center"/>
          </w:tcPr>
          <w:p>
            <w:pPr>
              <w:pStyle w:val="TableContents"/>
              <w:bidi w:val="0"/>
              <w:spacing w:before="0" w:after="0"/>
              <w:jc w:val="left"/>
              <w:rPr>
                <w:rFonts w:ascii="Arial" w:hAnsi="Arial"/>
                <w:sz w:val="18"/>
              </w:rPr>
            </w:pPr>
            <w:r>
              <w:rPr>
                <w:rFonts w:ascii="Arial" w:hAnsi="Arial"/>
                <w:sz w:val="18"/>
              </w:rPr>
              <w:t>AAON, Inc.</w:t>
            </w:r>
          </w:p>
          <w:p>
            <w:pPr>
              <w:pStyle w:val="TableContents"/>
              <w:bidi w:val="0"/>
              <w:spacing w:before="0" w:after="0"/>
              <w:jc w:val="left"/>
              <w:rPr>
                <w:rFonts w:ascii="Arial" w:hAnsi="Arial"/>
                <w:sz w:val="18"/>
              </w:rPr>
            </w:pPr>
            <w:r>
              <w:rPr>
                <w:rFonts w:ascii="Arial" w:hAnsi="Arial"/>
                <w:sz w:val="18"/>
              </w:rPr>
              <w:t>Armstrong World Industries, Inc.</w:t>
            </w:r>
          </w:p>
          <w:p>
            <w:pPr>
              <w:pStyle w:val="TableContents"/>
              <w:bidi w:val="0"/>
              <w:spacing w:before="0" w:after="0"/>
              <w:jc w:val="left"/>
              <w:rPr>
                <w:rFonts w:ascii="Arial" w:hAnsi="Arial"/>
                <w:sz w:val="18"/>
              </w:rPr>
            </w:pPr>
            <w:r>
              <w:rPr>
                <w:rFonts w:ascii="Arial" w:hAnsi="Arial"/>
                <w:sz w:val="18"/>
              </w:rPr>
              <w:t>AZZ Inc.</w:t>
            </w:r>
          </w:p>
          <w:p>
            <w:pPr>
              <w:pStyle w:val="TableContents"/>
              <w:bidi w:val="0"/>
              <w:spacing w:before="0" w:after="0"/>
              <w:jc w:val="left"/>
              <w:rPr>
                <w:rFonts w:ascii="Arial" w:hAnsi="Arial"/>
                <w:sz w:val="18"/>
              </w:rPr>
            </w:pPr>
            <w:r>
              <w:rPr>
                <w:rFonts w:ascii="Arial" w:hAnsi="Arial"/>
                <w:sz w:val="18"/>
              </w:rPr>
              <w:t>Barnes Group Inc.</w:t>
            </w:r>
          </w:p>
          <w:p>
            <w:pPr>
              <w:pStyle w:val="TableContents"/>
              <w:bidi w:val="0"/>
              <w:spacing w:before="0" w:after="0"/>
              <w:jc w:val="left"/>
              <w:rPr>
                <w:rFonts w:ascii="Arial" w:hAnsi="Arial"/>
                <w:sz w:val="18"/>
              </w:rPr>
            </w:pPr>
            <w:r>
              <w:rPr>
                <w:rFonts w:ascii="Arial" w:hAnsi="Arial"/>
                <w:sz w:val="18"/>
              </w:rPr>
              <w:t>Columbus McKinnon Corp.</w:t>
            </w:r>
          </w:p>
          <w:p>
            <w:pPr>
              <w:pStyle w:val="TableContents"/>
              <w:bidi w:val="0"/>
              <w:spacing w:before="0" w:after="0"/>
              <w:jc w:val="left"/>
              <w:rPr>
                <w:rFonts w:ascii="Arial" w:hAnsi="Arial"/>
                <w:sz w:val="18"/>
              </w:rPr>
            </w:pPr>
            <w:r>
              <w:rPr>
                <w:rFonts w:ascii="Arial" w:hAnsi="Arial"/>
                <w:sz w:val="18"/>
              </w:rPr>
              <w:t>EnPro Industries, Inc.</w:t>
            </w:r>
          </w:p>
          <w:p>
            <w:pPr>
              <w:pStyle w:val="TableContents"/>
              <w:bidi w:val="0"/>
              <w:spacing w:before="0" w:after="0"/>
              <w:jc w:val="left"/>
              <w:rPr>
                <w:rFonts w:ascii="Arial" w:hAnsi="Arial"/>
                <w:sz w:val="18"/>
              </w:rPr>
            </w:pPr>
            <w:r>
              <w:rPr>
                <w:rFonts w:ascii="Arial" w:hAnsi="Arial"/>
                <w:sz w:val="18"/>
              </w:rPr>
              <w:t>ESCO Technologies Inc.</w:t>
            </w:r>
          </w:p>
          <w:p>
            <w:pPr>
              <w:pStyle w:val="TableContents"/>
              <w:bidi w:val="0"/>
              <w:spacing w:before="0" w:after="20"/>
              <w:jc w:val="left"/>
              <w:rPr>
                <w:rFonts w:ascii="Arial" w:hAnsi="Arial"/>
                <w:sz w:val="18"/>
              </w:rPr>
            </w:pPr>
            <w:r>
              <w:rPr>
                <w:rFonts w:ascii="Arial" w:hAnsi="Arial"/>
                <w:sz w:val="18"/>
              </w:rPr>
              <w:t>Franklin Electric Co., Inc.</w:t>
            </w:r>
          </w:p>
        </w:tc>
        <w:tc>
          <w:tcPr>
            <w:tcW w:w="120" w:type="dxa"/>
            <w:tcBorders>
              <w:bottom w:val="single" w:sz="16" w:space="0" w:color="7DB655"/>
            </w:tcBorders>
            <w:tcMar>
              <w:bottom w:w="28" w:type="dxa"/>
            </w:tcMar>
            <w:vAlign w:val="center"/>
          </w:tcPr>
          <w:p>
            <w:pPr>
              <w:pStyle w:val="TableContents"/>
              <w:bidi w:val="0"/>
              <w:spacing w:before="0" w:after="283"/>
              <w:jc w:val="left"/>
              <w:rPr/>
            </w:pPr>
            <w:r>
              <w:rPr/>
              <w:t>  </w:t>
            </w:r>
          </w:p>
        </w:tc>
        <w:tc>
          <w:tcPr>
            <w:tcW w:w="2315" w:type="dxa"/>
            <w:tcBorders>
              <w:bottom w:val="single" w:sz="16" w:space="0" w:color="7DB655"/>
            </w:tcBorders>
            <w:tcMar>
              <w:bottom w:w="40" w:type="dxa"/>
            </w:tcMar>
            <w:vAlign w:val="center"/>
          </w:tcPr>
          <w:p>
            <w:pPr>
              <w:pStyle w:val="TableContents"/>
              <w:bidi w:val="0"/>
              <w:spacing w:before="0" w:after="0"/>
              <w:jc w:val="right"/>
              <w:rPr>
                <w:rFonts w:ascii="Arial" w:hAnsi="Arial"/>
                <w:sz w:val="18"/>
              </w:rPr>
            </w:pPr>
            <w:r>
              <w:rPr>
                <w:rFonts w:ascii="Arial" w:hAnsi="Arial"/>
                <w:sz w:val="18"/>
              </w:rPr>
              <w:t>Gibraltar Industries, Inc.</w:t>
            </w:r>
          </w:p>
          <w:p>
            <w:pPr>
              <w:pStyle w:val="TableContents"/>
              <w:bidi w:val="0"/>
              <w:spacing w:before="0" w:after="0"/>
              <w:jc w:val="right"/>
              <w:rPr>
                <w:rFonts w:ascii="Arial" w:hAnsi="Arial"/>
                <w:sz w:val="18"/>
              </w:rPr>
            </w:pPr>
            <w:r>
              <w:rPr>
                <w:rFonts w:ascii="Arial" w:hAnsi="Arial"/>
                <w:sz w:val="18"/>
              </w:rPr>
              <w:t>Helios Technologies, Inc.</w:t>
            </w:r>
          </w:p>
          <w:p>
            <w:pPr>
              <w:pStyle w:val="TableContents"/>
              <w:bidi w:val="0"/>
              <w:spacing w:before="0" w:after="0"/>
              <w:jc w:val="right"/>
              <w:rPr>
                <w:rFonts w:ascii="Arial" w:hAnsi="Arial"/>
                <w:sz w:val="18"/>
              </w:rPr>
            </w:pPr>
            <w:r>
              <w:rPr>
                <w:rFonts w:ascii="Arial" w:hAnsi="Arial"/>
                <w:sz w:val="18"/>
              </w:rPr>
              <w:t>Innospec Inc.</w:t>
            </w:r>
          </w:p>
          <w:p>
            <w:pPr>
              <w:pStyle w:val="TableContents"/>
              <w:bidi w:val="0"/>
              <w:spacing w:before="0" w:after="0"/>
              <w:jc w:val="right"/>
              <w:rPr>
                <w:rFonts w:ascii="Arial" w:hAnsi="Arial"/>
                <w:sz w:val="18"/>
              </w:rPr>
            </w:pPr>
            <w:r>
              <w:rPr>
                <w:rFonts w:ascii="Arial" w:hAnsi="Arial"/>
                <w:sz w:val="18"/>
              </w:rPr>
              <w:t>Kadant Inc.</w:t>
            </w:r>
          </w:p>
          <w:p>
            <w:pPr>
              <w:pStyle w:val="TableContents"/>
              <w:bidi w:val="0"/>
              <w:spacing w:before="0" w:after="0"/>
              <w:jc w:val="right"/>
              <w:rPr>
                <w:rFonts w:ascii="Arial" w:hAnsi="Arial"/>
                <w:sz w:val="18"/>
              </w:rPr>
            </w:pPr>
            <w:r>
              <w:rPr>
                <w:rFonts w:ascii="Arial" w:hAnsi="Arial"/>
                <w:sz w:val="18"/>
              </w:rPr>
              <w:t>Mueller Water Products, Inc.</w:t>
            </w:r>
          </w:p>
          <w:p>
            <w:pPr>
              <w:pStyle w:val="TableContents"/>
              <w:bidi w:val="0"/>
              <w:spacing w:before="0" w:after="0"/>
              <w:jc w:val="right"/>
              <w:rPr>
                <w:rFonts w:ascii="Arial" w:hAnsi="Arial"/>
                <w:sz w:val="18"/>
              </w:rPr>
            </w:pPr>
            <w:r>
              <w:rPr>
                <w:rFonts w:ascii="Arial" w:hAnsi="Arial"/>
                <w:sz w:val="18"/>
              </w:rPr>
              <w:t>SPX Technologies, Inc.</w:t>
            </w:r>
          </w:p>
          <w:p>
            <w:pPr>
              <w:pStyle w:val="TableContents"/>
              <w:bidi w:val="0"/>
              <w:spacing w:before="0" w:after="20"/>
              <w:jc w:val="right"/>
              <w:rPr>
                <w:rFonts w:ascii="Arial" w:hAnsi="Arial"/>
                <w:sz w:val="18"/>
              </w:rPr>
            </w:pPr>
            <w:r>
              <w:rPr>
                <w:rFonts w:ascii="Arial" w:hAnsi="Arial"/>
                <w:sz w:val="18"/>
              </w:rPr>
              <w:t>Standex International Corp.</w:t>
            </w:r>
          </w:p>
        </w:tc>
      </w:tr>
    </w:tbl>
    <w:p>
      <w:pPr>
        <w:pStyle w:val="TextBody"/>
        <w:bidi w:val="0"/>
        <w:spacing w:before="240" w:after="0"/>
        <w:jc w:val="left"/>
        <w:rPr>
          <w:rFonts w:ascii="Arial" w:hAnsi="Arial"/>
          <w:color w:val="191919"/>
          <w:sz w:val="18"/>
        </w:rPr>
      </w:pPr>
      <w:r>
        <w:rPr>
          <w:rFonts w:ascii="Arial" w:hAnsi="Arial"/>
          <w:color w:val="191919"/>
          <w:sz w:val="18"/>
        </w:rPr>
        <w:t xml:space="preserve">Compared to fiscal 2025, only incremental updates were made to the Compensation Peer Group. One former peer company, PGT Innovations, Inc., was acquired in calendar 2024 and removed from the group. This position was replaced with a qualifying industrial equipment company, AZZ Inc., maintaining the group’s industry representation and the size of the data set for statistical purposes. The Compensation Committee determined that no other changes to the Compensation Peer Group were necessary, as all other peers continued to satisfy the established filter criteria. </w:t>
      </w:r>
    </w:p>
    <w:p>
      <w:pPr>
        <w:pStyle w:val="TextBody"/>
        <w:bidi w:val="0"/>
        <w:spacing w:before="240" w:after="0"/>
        <w:jc w:val="left"/>
        <w:rPr>
          <w:rFonts w:ascii="Arial" w:hAnsi="Arial"/>
          <w:color w:val="191919"/>
          <w:sz w:val="18"/>
        </w:rPr>
      </w:pPr>
      <w:r>
        <w:rPr>
          <w:rFonts w:ascii="Arial" w:hAnsi="Arial"/>
          <w:color w:val="191919"/>
          <w:sz w:val="18"/>
        </w:rPr>
        <w:t xml:space="preserve">All compensation elements for our NEOs are generally set using the 50th percentile of benchmarked compensation data as a reference point. This includes base salaries, annual incentive opportunities, total target cash compensation, long-term incentive compensation, and total target compensation. Actual benchmarked percentile rankings for our NEOs’ target compensation levels vary and can be above or below the 50th percentile reference point for a variety of reasons, including individual performance, experience, succession potential, and scope of responsibilities. This approach helps the Compensation Committee balance a performance-focused structure with the need to maintain market-competitive target and realized compensation.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29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81" descr=""/>
                          <pic:cNvPicPr>
                            <a:picLocks noChangeAspect="1" noChangeArrowheads="1"/>
                          </pic:cNvPicPr>
                        </pic:nvPicPr>
                        <pic:blipFill>
                          <a:blip r:embed="rId28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Executive Compensation Program Risk Assessment </w:t>
      </w:r>
    </w:p>
    <w:p>
      <w:pPr>
        <w:pStyle w:val="TextBody"/>
        <w:bidi w:val="0"/>
        <w:spacing w:before="240" w:after="0"/>
        <w:jc w:val="left"/>
        <w:rPr>
          <w:rFonts w:ascii="Arial" w:hAnsi="Arial"/>
          <w:color w:val="191919"/>
          <w:sz w:val="18"/>
        </w:rPr>
      </w:pPr>
      <w:r>
        <w:rPr>
          <w:rFonts w:ascii="Arial" w:hAnsi="Arial"/>
          <w:color w:val="191919"/>
          <w:sz w:val="18"/>
        </w:rPr>
        <w:t xml:space="preserve">A critical part of the Compensation Committee’s executive compensation program review is an evaluation of whether the program, both as a whole and its individual elements, is consistent with the Company’s risk management objectives. If any program element is determined to be inconsistent with our objectives and principles, or if it is determined to encourage risks that are reasonably likely to have a material adverse effect on us, the elements are adjusted as necessary.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in consultation with its independent compensation consultant, has concluded that no risks arising from our compensation policies and practices are reasonably likely to have a material adverse effect on the Company. In reaching this conclusion, the Compensation Committee noted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2861"/>
        <w:gridCol w:w="120"/>
        <w:gridCol w:w="6724"/>
      </w:tblGrid>
      <w:tr>
        <w:trPr/>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24" w:type="dxa"/>
            <w:tcBorders/>
            <w:vAlign w:val="center"/>
          </w:tcPr>
          <w:p>
            <w:pPr>
              <w:pStyle w:val="TableContents"/>
              <w:bidi w:val="0"/>
              <w:spacing w:before="0" w:after="283"/>
              <w:jc w:val="left"/>
              <w:rPr>
                <w:sz w:val="4"/>
                <w:szCs w:val="4"/>
              </w:rPr>
            </w:pPr>
            <w:r>
              <w:rPr>
                <w:sz w:val="4"/>
                <w:szCs w:val="4"/>
              </w:rPr>
            </w:r>
          </w:p>
        </w:tc>
      </w:tr>
      <w:tr>
        <w:trPr/>
        <w:tc>
          <w:tcPr>
            <w:tcW w:w="440" w:type="dxa"/>
            <w:tcBorders>
              <w:top w:val="single" w:sz="8" w:space="0" w:color="7DB655"/>
            </w:tcBorders>
            <w:shd w:fill="EBF4E5" w:val="clear"/>
            <w:tcMar>
              <w:top w:w="28" w:type="dxa"/>
            </w:tcMar>
            <w:vAlign w:val="center"/>
          </w:tcPr>
          <w:p>
            <w:pPr>
              <w:pStyle w:val="TableContents"/>
              <w:bidi w:val="0"/>
              <w:spacing w:before="0" w:after="283"/>
              <w:jc w:val="left"/>
              <w:rPr/>
            </w:pPr>
            <w:r>
              <w:rPr/>
              <w:t> </w:t>
            </w:r>
          </w:p>
        </w:tc>
        <w:tc>
          <w:tcPr>
            <w:tcW w:w="2921" w:type="dxa"/>
            <w:gridSpan w:val="2"/>
            <w:tcBorders>
              <w:top w:val="single" w:sz="8" w:space="0" w:color="7DB655"/>
            </w:tcBorders>
            <w:tcMar>
              <w:top w:w="28" w:type="dxa"/>
            </w:tcMar>
            <w:vAlign w:val="center"/>
          </w:tcPr>
          <w:p>
            <w:pPr>
              <w:pStyle w:val="TableContents"/>
              <w:bidi w:val="0"/>
              <w:spacing w:before="0" w:after="283"/>
              <w:jc w:val="left"/>
              <w:rPr/>
            </w:pPr>
            <w:r>
              <w:rPr/>
              <w:t> </w:t>
            </w:r>
          </w:p>
        </w:tc>
        <w:tc>
          <w:tcPr>
            <w:tcW w:w="6844" w:type="dxa"/>
            <w:gridSpan w:val="2"/>
            <w:tcBorders>
              <w:top w:val="single" w:sz="8" w:space="0" w:color="7DB655"/>
            </w:tcBorders>
            <w:tcMar>
              <w:top w:w="28" w:type="dxa"/>
            </w:tcMar>
            <w:vAlign w:val="center"/>
          </w:tcPr>
          <w:p>
            <w:pPr>
              <w:pStyle w:val="TableContents"/>
              <w:bidi w:val="0"/>
              <w:spacing w:before="0" w:after="283"/>
              <w:jc w:val="left"/>
              <w:rPr/>
            </w:pPr>
            <w:r>
              <w:rPr/>
              <w:t> </w:t>
            </w:r>
          </w:p>
        </w:tc>
      </w:tr>
      <w:tr>
        <w:trPr/>
        <w:tc>
          <w:tcPr>
            <w:tcW w:w="440" w:type="dxa"/>
            <w:tcBorders>
              <w:bottom w:val="single" w:sz="6" w:space="0" w:color="7DB655"/>
            </w:tcBorders>
            <w:shd w:fill="EBF4E5" w:val="clear"/>
            <w:tcMar>
              <w:bottom w:w="60" w:type="dxa"/>
            </w:tcMar>
            <w:vAlign w:val="center"/>
          </w:tcPr>
          <w:p>
            <w:pPr>
              <w:pStyle w:val="TableContents"/>
              <w:bidi w:val="0"/>
              <w:spacing w:before="0" w:after="283"/>
              <w:jc w:val="center"/>
              <w:rPr/>
            </w:pPr>
            <w:r>
              <w:rPr/>
              <w:drawing>
                <wp:inline distT="0" distB="0" distL="0" distR="0">
                  <wp:extent cx="265430" cy="384175"/>
                  <wp:effectExtent l="0" t="0" r="0" b="0"/>
                  <wp:docPr id="29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82" descr=""/>
                          <pic:cNvPicPr>
                            <a:picLocks noChangeAspect="1" noChangeArrowheads="1"/>
                          </pic:cNvPicPr>
                        </pic:nvPicPr>
                        <pic:blipFill>
                          <a:blip r:embed="rId283"/>
                          <a:stretch>
                            <a:fillRect/>
                          </a:stretch>
                        </pic:blipFill>
                        <pic:spPr bwMode="auto">
                          <a:xfrm>
                            <a:off x="0" y="0"/>
                            <a:ext cx="265430" cy="38417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861" w:type="dxa"/>
            <w:tcBorders>
              <w:bottom w:val="single" w:sz="6" w:space="0" w:color="7DB655"/>
            </w:tcBorders>
            <w:tcMar>
              <w:bottom w:w="60" w:type="dxa"/>
            </w:tcMar>
            <w:vAlign w:val="center"/>
          </w:tcPr>
          <w:p>
            <w:pPr>
              <w:pStyle w:val="TableContents"/>
              <w:bidi w:val="0"/>
              <w:spacing w:before="0" w:after="283"/>
              <w:jc w:val="left"/>
              <w:rPr>
                <w:b/>
                <w:i/>
                <w:color w:val="191919"/>
              </w:rPr>
            </w:pPr>
            <w:r>
              <w:rPr>
                <w:b/>
                <w:i/>
                <w:color w:val="191919"/>
              </w:rPr>
              <w:t>Compensation elements are balanced</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724"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xml:space="preserve">We provide a balanced mix of base salary, annual cash incentive compensation, and long-term equity incentives. This balanced mix provides the incentive to perform at high levels and maximize Company performance. At the same time, it does not encourage singular focus on compensation performance metrics to the detriment of other important business metrics or overlooking </w:t>
            </w:r>
            <w:r>
              <w:rPr>
                <w:i/>
                <w:color w:val="191919"/>
              </w:rPr>
              <w:t>how</w:t>
            </w:r>
            <w:r>
              <w:rPr>
                <w:color w:val="191919"/>
              </w:rPr>
              <w:t xml:space="preserve"> goals are accomplished.</w:t>
            </w:r>
          </w:p>
        </w:tc>
      </w:tr>
      <w:tr>
        <w:trPr/>
        <w:tc>
          <w:tcPr>
            <w:tcW w:w="440" w:type="dxa"/>
            <w:tcBorders/>
            <w:shd w:fill="EBF4E5" w:val="clear"/>
            <w:vAlign w:val="center"/>
          </w:tcPr>
          <w:p>
            <w:pPr>
              <w:pStyle w:val="TableContents"/>
              <w:bidi w:val="0"/>
              <w:spacing w:before="0" w:after="283"/>
              <w:jc w:val="left"/>
              <w:rPr>
                <w:sz w:val="4"/>
                <w:szCs w:val="4"/>
              </w:rPr>
            </w:pPr>
            <w:r>
              <w:rPr>
                <w:sz w:val="4"/>
                <w:szCs w:val="4"/>
              </w:rPr>
            </w:r>
          </w:p>
        </w:tc>
        <w:tc>
          <w:tcPr>
            <w:tcW w:w="2921" w:type="dxa"/>
            <w:gridSpan w:val="2"/>
            <w:tcBorders/>
            <w:vAlign w:val="center"/>
          </w:tcPr>
          <w:p>
            <w:pPr>
              <w:pStyle w:val="TableContents"/>
              <w:bidi w:val="0"/>
              <w:spacing w:before="0" w:after="283"/>
              <w:jc w:val="left"/>
              <w:rPr>
                <w:sz w:val="4"/>
                <w:szCs w:val="4"/>
              </w:rPr>
            </w:pPr>
            <w:r>
              <w:rPr>
                <w:sz w:val="4"/>
                <w:szCs w:val="4"/>
              </w:rPr>
            </w:r>
          </w:p>
        </w:tc>
        <w:tc>
          <w:tcPr>
            <w:tcW w:w="6844"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bottom w:val="single" w:sz="6" w:space="0" w:color="7DB655"/>
            </w:tcBorders>
            <w:shd w:fill="EBF4E5" w:val="clear"/>
            <w:tcMar>
              <w:bottom w:w="60" w:type="dxa"/>
            </w:tcMar>
            <w:vAlign w:val="center"/>
          </w:tcPr>
          <w:p>
            <w:pPr>
              <w:pStyle w:val="TableContents"/>
              <w:bidi w:val="0"/>
              <w:spacing w:before="0" w:after="283"/>
              <w:jc w:val="center"/>
              <w:rPr/>
            </w:pPr>
            <w:r>
              <w:rPr/>
              <w:drawing>
                <wp:inline distT="0" distB="0" distL="0" distR="0">
                  <wp:extent cx="265430" cy="384175"/>
                  <wp:effectExtent l="0" t="0" r="0" b="0"/>
                  <wp:docPr id="29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83" descr=""/>
                          <pic:cNvPicPr>
                            <a:picLocks noChangeAspect="1" noChangeArrowheads="1"/>
                          </pic:cNvPicPr>
                        </pic:nvPicPr>
                        <pic:blipFill>
                          <a:blip r:embed="rId284"/>
                          <a:stretch>
                            <a:fillRect/>
                          </a:stretch>
                        </pic:blipFill>
                        <pic:spPr bwMode="auto">
                          <a:xfrm>
                            <a:off x="0" y="0"/>
                            <a:ext cx="265430" cy="38417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861" w:type="dxa"/>
            <w:tcBorders>
              <w:bottom w:val="single" w:sz="6" w:space="0" w:color="7DB655"/>
            </w:tcBorders>
            <w:tcMar>
              <w:bottom w:w="60" w:type="dxa"/>
            </w:tcMar>
            <w:vAlign w:val="center"/>
          </w:tcPr>
          <w:p>
            <w:pPr>
              <w:pStyle w:val="TableContents"/>
              <w:bidi w:val="0"/>
              <w:spacing w:before="0" w:after="283"/>
              <w:jc w:val="left"/>
              <w:rPr>
                <w:b/>
                <w:i/>
                <w:color w:val="191919"/>
              </w:rPr>
            </w:pPr>
            <w:r>
              <w:rPr>
                <w:b/>
                <w:i/>
                <w:color w:val="191919"/>
              </w:rPr>
              <w:t>Performance metrics balance short-term and long-term goals</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724"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Our incentive compensation metrics are balanced between short- and long-term business and financial objectives. The metrics for our short- and long-term plans do not overlap, which prevents executives from focusing on one goal at the expense of others. All the performance goals are aligned with shareholder interests.</w:t>
            </w:r>
          </w:p>
        </w:tc>
      </w:tr>
      <w:tr>
        <w:trPr/>
        <w:tc>
          <w:tcPr>
            <w:tcW w:w="440" w:type="dxa"/>
            <w:tcBorders/>
            <w:shd w:fill="EBF4E5" w:val="clear"/>
            <w:vAlign w:val="center"/>
          </w:tcPr>
          <w:p>
            <w:pPr>
              <w:pStyle w:val="TableContents"/>
              <w:bidi w:val="0"/>
              <w:spacing w:before="0" w:after="283"/>
              <w:jc w:val="left"/>
              <w:rPr>
                <w:sz w:val="4"/>
                <w:szCs w:val="4"/>
              </w:rPr>
            </w:pPr>
            <w:r>
              <w:rPr>
                <w:sz w:val="4"/>
                <w:szCs w:val="4"/>
              </w:rPr>
            </w:r>
          </w:p>
        </w:tc>
        <w:tc>
          <w:tcPr>
            <w:tcW w:w="2921" w:type="dxa"/>
            <w:gridSpan w:val="2"/>
            <w:tcBorders/>
            <w:vAlign w:val="center"/>
          </w:tcPr>
          <w:p>
            <w:pPr>
              <w:pStyle w:val="TableContents"/>
              <w:bidi w:val="0"/>
              <w:spacing w:before="0" w:after="283"/>
              <w:jc w:val="left"/>
              <w:rPr>
                <w:sz w:val="4"/>
                <w:szCs w:val="4"/>
              </w:rPr>
            </w:pPr>
            <w:r>
              <w:rPr>
                <w:sz w:val="4"/>
                <w:szCs w:val="4"/>
              </w:rPr>
            </w:r>
          </w:p>
        </w:tc>
        <w:tc>
          <w:tcPr>
            <w:tcW w:w="6844"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bottom w:val="single" w:sz="6" w:space="0" w:color="7DB655"/>
            </w:tcBorders>
            <w:shd w:fill="EBF4E5" w:val="clear"/>
            <w:tcMar>
              <w:bottom w:w="60" w:type="dxa"/>
            </w:tcMar>
            <w:vAlign w:val="center"/>
          </w:tcPr>
          <w:p>
            <w:pPr>
              <w:pStyle w:val="TableContents"/>
              <w:bidi w:val="0"/>
              <w:spacing w:before="0" w:after="283"/>
              <w:jc w:val="center"/>
              <w:rPr/>
            </w:pPr>
            <w:r>
              <w:rPr/>
              <w:drawing>
                <wp:inline distT="0" distB="0" distL="0" distR="0">
                  <wp:extent cx="265430" cy="384175"/>
                  <wp:effectExtent l="0" t="0" r="0" b="0"/>
                  <wp:docPr id="29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84" descr=""/>
                          <pic:cNvPicPr>
                            <a:picLocks noChangeAspect="1" noChangeArrowheads="1"/>
                          </pic:cNvPicPr>
                        </pic:nvPicPr>
                        <pic:blipFill>
                          <a:blip r:embed="rId285"/>
                          <a:stretch>
                            <a:fillRect/>
                          </a:stretch>
                        </pic:blipFill>
                        <pic:spPr bwMode="auto">
                          <a:xfrm>
                            <a:off x="0" y="0"/>
                            <a:ext cx="265430" cy="38417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861" w:type="dxa"/>
            <w:tcBorders>
              <w:bottom w:val="single" w:sz="6" w:space="0" w:color="7DB655"/>
            </w:tcBorders>
            <w:tcMar>
              <w:bottom w:w="60" w:type="dxa"/>
            </w:tcMar>
            <w:vAlign w:val="center"/>
          </w:tcPr>
          <w:p>
            <w:pPr>
              <w:pStyle w:val="TableContents"/>
              <w:bidi w:val="0"/>
              <w:spacing w:before="0" w:after="283"/>
              <w:jc w:val="left"/>
              <w:rPr>
                <w:b/>
                <w:i/>
                <w:color w:val="191919"/>
              </w:rPr>
            </w:pPr>
            <w:r>
              <w:rPr>
                <w:b/>
                <w:i/>
                <w:color w:val="191919"/>
              </w:rPr>
              <w:t>Individual performance is emphasized</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724"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We emphasize individual, non-financial performance metrics in determining individual compensation amounts. The Compensation Committee strongly believes this effectively encourages and rewards behaviors that are consistent with our business objectives and core values and discourages behaviors that are not.</w:t>
            </w:r>
          </w:p>
        </w:tc>
      </w:tr>
      <w:tr>
        <w:trPr/>
        <w:tc>
          <w:tcPr>
            <w:tcW w:w="440" w:type="dxa"/>
            <w:tcBorders/>
            <w:shd w:fill="EBF4E5" w:val="clear"/>
            <w:vAlign w:val="center"/>
          </w:tcPr>
          <w:p>
            <w:pPr>
              <w:pStyle w:val="TableContents"/>
              <w:bidi w:val="0"/>
              <w:spacing w:before="0" w:after="283"/>
              <w:jc w:val="left"/>
              <w:rPr>
                <w:sz w:val="4"/>
                <w:szCs w:val="4"/>
              </w:rPr>
            </w:pPr>
            <w:r>
              <w:rPr>
                <w:sz w:val="4"/>
                <w:szCs w:val="4"/>
              </w:rPr>
            </w:r>
          </w:p>
        </w:tc>
        <w:tc>
          <w:tcPr>
            <w:tcW w:w="2921" w:type="dxa"/>
            <w:gridSpan w:val="2"/>
            <w:tcBorders/>
            <w:vAlign w:val="center"/>
          </w:tcPr>
          <w:p>
            <w:pPr>
              <w:pStyle w:val="TableContents"/>
              <w:bidi w:val="0"/>
              <w:spacing w:before="0" w:after="283"/>
              <w:jc w:val="left"/>
              <w:rPr>
                <w:sz w:val="4"/>
                <w:szCs w:val="4"/>
              </w:rPr>
            </w:pPr>
            <w:r>
              <w:rPr>
                <w:sz w:val="4"/>
                <w:szCs w:val="4"/>
              </w:rPr>
            </w:r>
          </w:p>
        </w:tc>
        <w:tc>
          <w:tcPr>
            <w:tcW w:w="6844"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bottom w:val="single" w:sz="6" w:space="0" w:color="7DB655"/>
            </w:tcBorders>
            <w:shd w:fill="EBF4E5" w:val="clear"/>
            <w:tcMar>
              <w:bottom w:w="60" w:type="dxa"/>
            </w:tcMar>
            <w:vAlign w:val="center"/>
          </w:tcPr>
          <w:p>
            <w:pPr>
              <w:pStyle w:val="TableContents"/>
              <w:bidi w:val="0"/>
              <w:spacing w:before="0" w:after="283"/>
              <w:jc w:val="center"/>
              <w:rPr/>
            </w:pPr>
            <w:r>
              <w:rPr/>
              <w:drawing>
                <wp:inline distT="0" distB="0" distL="0" distR="0">
                  <wp:extent cx="265430" cy="384175"/>
                  <wp:effectExtent l="0" t="0" r="0" b="0"/>
                  <wp:docPr id="29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85" descr=""/>
                          <pic:cNvPicPr>
                            <a:picLocks noChangeAspect="1" noChangeArrowheads="1"/>
                          </pic:cNvPicPr>
                        </pic:nvPicPr>
                        <pic:blipFill>
                          <a:blip r:embed="rId286"/>
                          <a:stretch>
                            <a:fillRect/>
                          </a:stretch>
                        </pic:blipFill>
                        <pic:spPr bwMode="auto">
                          <a:xfrm>
                            <a:off x="0" y="0"/>
                            <a:ext cx="265430" cy="38417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861" w:type="dxa"/>
            <w:tcBorders>
              <w:bottom w:val="single" w:sz="6" w:space="0" w:color="7DB655"/>
            </w:tcBorders>
            <w:tcMar>
              <w:bottom w:w="60" w:type="dxa"/>
            </w:tcMar>
            <w:vAlign w:val="center"/>
          </w:tcPr>
          <w:p>
            <w:pPr>
              <w:pStyle w:val="TableContents"/>
              <w:bidi w:val="0"/>
              <w:spacing w:before="0" w:after="283"/>
              <w:jc w:val="left"/>
              <w:rPr>
                <w:b/>
                <w:i/>
                <w:color w:val="191919"/>
              </w:rPr>
            </w:pPr>
            <w:r>
              <w:rPr>
                <w:b/>
                <w:i/>
                <w:color w:val="191919"/>
              </w:rPr>
              <w:t>Incentive programs have performance thresholds and are capped</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724"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Both the AIP opportunity and performance shares have threshold payout levels and/or performance contingencies, which ensure that incentive compensation is reduced or eliminated if minimum performance levels are not achieved. They also have maximum payout levels, which helps avoid excessive total compensation and reduces the incentive to engage in unnecessarily risky behavior.</w:t>
            </w:r>
          </w:p>
        </w:tc>
      </w:tr>
      <w:tr>
        <w:trPr/>
        <w:tc>
          <w:tcPr>
            <w:tcW w:w="440" w:type="dxa"/>
            <w:tcBorders/>
            <w:shd w:fill="EBF4E5" w:val="clear"/>
            <w:vAlign w:val="center"/>
          </w:tcPr>
          <w:p>
            <w:pPr>
              <w:pStyle w:val="TableContents"/>
              <w:bidi w:val="0"/>
              <w:spacing w:before="0" w:after="283"/>
              <w:jc w:val="left"/>
              <w:rPr>
                <w:sz w:val="4"/>
                <w:szCs w:val="4"/>
              </w:rPr>
            </w:pPr>
            <w:r>
              <w:rPr>
                <w:sz w:val="4"/>
                <w:szCs w:val="4"/>
              </w:rPr>
            </w:r>
          </w:p>
        </w:tc>
        <w:tc>
          <w:tcPr>
            <w:tcW w:w="2921" w:type="dxa"/>
            <w:gridSpan w:val="2"/>
            <w:tcBorders/>
            <w:vAlign w:val="center"/>
          </w:tcPr>
          <w:p>
            <w:pPr>
              <w:pStyle w:val="TableContents"/>
              <w:bidi w:val="0"/>
              <w:spacing w:before="0" w:after="283"/>
              <w:jc w:val="left"/>
              <w:rPr>
                <w:sz w:val="4"/>
                <w:szCs w:val="4"/>
              </w:rPr>
            </w:pPr>
            <w:r>
              <w:rPr>
                <w:sz w:val="4"/>
                <w:szCs w:val="4"/>
              </w:rPr>
            </w:r>
          </w:p>
        </w:tc>
        <w:tc>
          <w:tcPr>
            <w:tcW w:w="6844"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bottom w:val="single" w:sz="6" w:space="0" w:color="7DB655"/>
            </w:tcBorders>
            <w:shd w:fill="EBF4E5" w:val="clear"/>
            <w:tcMar>
              <w:bottom w:w="60" w:type="dxa"/>
            </w:tcMar>
            <w:vAlign w:val="center"/>
          </w:tcPr>
          <w:p>
            <w:pPr>
              <w:pStyle w:val="TableContents"/>
              <w:bidi w:val="0"/>
              <w:spacing w:before="0" w:after="283"/>
              <w:jc w:val="center"/>
              <w:rPr/>
            </w:pPr>
            <w:r>
              <w:rPr/>
              <w:drawing>
                <wp:inline distT="0" distB="0" distL="0" distR="0">
                  <wp:extent cx="265430" cy="384175"/>
                  <wp:effectExtent l="0" t="0" r="0" b="0"/>
                  <wp:docPr id="30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86" descr=""/>
                          <pic:cNvPicPr>
                            <a:picLocks noChangeAspect="1" noChangeArrowheads="1"/>
                          </pic:cNvPicPr>
                        </pic:nvPicPr>
                        <pic:blipFill>
                          <a:blip r:embed="rId287"/>
                          <a:stretch>
                            <a:fillRect/>
                          </a:stretch>
                        </pic:blipFill>
                        <pic:spPr bwMode="auto">
                          <a:xfrm>
                            <a:off x="0" y="0"/>
                            <a:ext cx="265430" cy="384175"/>
                          </a:xfrm>
                          <a:prstGeom prst="rect">
                            <a:avLst/>
                          </a:prstGeom>
                        </pic:spPr>
                      </pic:pic>
                    </a:graphicData>
                  </a:graphic>
                </wp:inline>
              </w:drawing>
            </w:r>
            <w:r>
              <w:rPr/>
              <w:t xml:space="preserve">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861" w:type="dxa"/>
            <w:tcBorders>
              <w:bottom w:val="single" w:sz="6" w:space="0" w:color="7DB655"/>
            </w:tcBorders>
            <w:tcMar>
              <w:bottom w:w="60" w:type="dxa"/>
            </w:tcMar>
            <w:vAlign w:val="center"/>
          </w:tcPr>
          <w:p>
            <w:pPr>
              <w:pStyle w:val="TableContents"/>
              <w:bidi w:val="0"/>
              <w:spacing w:before="0" w:after="283"/>
              <w:jc w:val="left"/>
              <w:rPr>
                <w:b/>
                <w:i/>
                <w:color w:val="191919"/>
              </w:rPr>
            </w:pPr>
            <w:r>
              <w:rPr>
                <w:b/>
                <w:i/>
                <w:color w:val="191919"/>
              </w:rPr>
              <w:t>Compensation is benchmarked</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724"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The Compensation Committee benchmarks compensation against both our Compensation Peer Group and the broader market to ensure our programs are performance-based, competitive, equitable, and generally consistent with industry and comparator company practices.</w:t>
            </w:r>
          </w:p>
        </w:tc>
      </w:tr>
      <w:tr>
        <w:trPr/>
        <w:tc>
          <w:tcPr>
            <w:tcW w:w="440" w:type="dxa"/>
            <w:tcBorders/>
            <w:shd w:fill="EBF4E5" w:val="clear"/>
            <w:vAlign w:val="center"/>
          </w:tcPr>
          <w:p>
            <w:pPr>
              <w:pStyle w:val="TableContents"/>
              <w:bidi w:val="0"/>
              <w:spacing w:before="0" w:after="283"/>
              <w:jc w:val="left"/>
              <w:rPr>
                <w:sz w:val="4"/>
                <w:szCs w:val="4"/>
              </w:rPr>
            </w:pPr>
            <w:r>
              <w:rPr>
                <w:sz w:val="4"/>
                <w:szCs w:val="4"/>
              </w:rPr>
            </w:r>
          </w:p>
        </w:tc>
        <w:tc>
          <w:tcPr>
            <w:tcW w:w="2921" w:type="dxa"/>
            <w:gridSpan w:val="2"/>
            <w:tcBorders/>
            <w:vAlign w:val="center"/>
          </w:tcPr>
          <w:p>
            <w:pPr>
              <w:pStyle w:val="TableContents"/>
              <w:bidi w:val="0"/>
              <w:spacing w:before="0" w:after="283"/>
              <w:jc w:val="left"/>
              <w:rPr>
                <w:sz w:val="4"/>
                <w:szCs w:val="4"/>
              </w:rPr>
            </w:pPr>
            <w:r>
              <w:rPr>
                <w:sz w:val="4"/>
                <w:szCs w:val="4"/>
              </w:rPr>
            </w:r>
          </w:p>
        </w:tc>
        <w:tc>
          <w:tcPr>
            <w:tcW w:w="6844"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bottom w:val="single" w:sz="8" w:space="0" w:color="7DB655"/>
            </w:tcBorders>
            <w:shd w:fill="EBF4E5" w:val="clear"/>
            <w:tcMar>
              <w:bottom w:w="60" w:type="dxa"/>
            </w:tcMar>
            <w:vAlign w:val="center"/>
          </w:tcPr>
          <w:p>
            <w:pPr>
              <w:pStyle w:val="TableContents"/>
              <w:bidi w:val="0"/>
              <w:spacing w:before="0" w:after="283"/>
              <w:jc w:val="center"/>
              <w:rPr/>
            </w:pPr>
            <w:r>
              <w:rPr/>
              <w:drawing>
                <wp:inline distT="0" distB="0" distL="0" distR="0">
                  <wp:extent cx="265430" cy="384175"/>
                  <wp:effectExtent l="0" t="0" r="0" b="0"/>
                  <wp:docPr id="30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87" descr=""/>
                          <pic:cNvPicPr>
                            <a:picLocks noChangeAspect="1" noChangeArrowheads="1"/>
                          </pic:cNvPicPr>
                        </pic:nvPicPr>
                        <pic:blipFill>
                          <a:blip r:embed="rId288"/>
                          <a:stretch>
                            <a:fillRect/>
                          </a:stretch>
                        </pic:blipFill>
                        <pic:spPr bwMode="auto">
                          <a:xfrm>
                            <a:off x="0" y="0"/>
                            <a:ext cx="265430" cy="384175"/>
                          </a:xfrm>
                          <a:prstGeom prst="rect">
                            <a:avLst/>
                          </a:prstGeom>
                        </pic:spPr>
                      </pic:pic>
                    </a:graphicData>
                  </a:graphic>
                </wp:inline>
              </w:drawing>
            </w:r>
            <w:r>
              <w:rPr/>
              <w:t xml:space="preserve"> </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2861" w:type="dxa"/>
            <w:tcBorders>
              <w:bottom w:val="single" w:sz="8" w:space="0" w:color="7DB655"/>
            </w:tcBorders>
            <w:tcMar>
              <w:bottom w:w="60" w:type="dxa"/>
            </w:tcMar>
            <w:vAlign w:val="center"/>
          </w:tcPr>
          <w:p>
            <w:pPr>
              <w:pStyle w:val="TableContents"/>
              <w:bidi w:val="0"/>
              <w:spacing w:before="0" w:after="283"/>
              <w:jc w:val="left"/>
              <w:rPr>
                <w:b/>
                <w:i/>
                <w:color w:val="191919"/>
              </w:rPr>
            </w:pPr>
            <w:r>
              <w:rPr>
                <w:b/>
                <w:i/>
                <w:color w:val="191919"/>
              </w:rPr>
              <w:t>Executives have equity ownership guidelines</w:t>
            </w:r>
          </w:p>
        </w:tc>
        <w:tc>
          <w:tcPr>
            <w:tcW w:w="120" w:type="dxa"/>
            <w:tcBorders>
              <w:bottom w:val="single" w:sz="8" w:space="0" w:color="7DB655"/>
            </w:tcBorders>
            <w:tcMar>
              <w:bottom w:w="28" w:type="dxa"/>
            </w:tcMar>
            <w:vAlign w:val="center"/>
          </w:tcPr>
          <w:p>
            <w:pPr>
              <w:pStyle w:val="TableContents"/>
              <w:bidi w:val="0"/>
              <w:spacing w:before="0" w:after="283"/>
              <w:jc w:val="left"/>
              <w:rPr/>
            </w:pPr>
            <w:r>
              <w:rPr/>
              <w:t>  </w:t>
            </w:r>
          </w:p>
        </w:tc>
        <w:tc>
          <w:tcPr>
            <w:tcW w:w="6724" w:type="dxa"/>
            <w:tcBorders>
              <w:bottom w:val="single" w:sz="8" w:space="0" w:color="7DB655"/>
            </w:tcBorders>
            <w:tcMar>
              <w:bottom w:w="60" w:type="dxa"/>
            </w:tcMar>
            <w:vAlign w:val="center"/>
          </w:tcPr>
          <w:p>
            <w:pPr>
              <w:pStyle w:val="TableContents"/>
              <w:bidi w:val="0"/>
              <w:spacing w:before="0" w:after="283"/>
              <w:jc w:val="left"/>
              <w:rPr>
                <w:color w:val="191919"/>
              </w:rPr>
            </w:pPr>
            <w:r>
              <w:rPr>
                <w:color w:val="191919"/>
              </w:rPr>
              <w:t>Our officers have robust equity ownership guidelines, which encourage a long-term focus on sustainable performance and further align our officers’ interests with those of our shareholders. Executives are prohibited from pledging stock and engaging in transactions designed to hedge against the value of the Company’s stock.</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0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88" descr=""/>
                          <pic:cNvPicPr>
                            <a:picLocks noChangeAspect="1" noChangeArrowheads="1"/>
                          </pic:cNvPicPr>
                        </pic:nvPicPr>
                        <pic:blipFill>
                          <a:blip r:embed="rId28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bookmarkStart w:id="28" w:name="txa136145_5"/>
      <w:bookmarkEnd w:id="28"/>
      <w:r>
        <w:rPr>
          <w:rFonts w:ascii="Arial" w:hAnsi="Arial"/>
          <w:b/>
          <w:color w:val="191919"/>
          <w:sz w:val="26"/>
        </w:rPr>
        <w:t xml:space="preserve">Executive Compensation Program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3110230" cy="6919595"/>
                <wp:effectExtent l="0" t="0" r="0" b="0"/>
                <wp:wrapSquare wrapText="right"/>
                <wp:docPr id="303" name="Frame15"/>
                <a:graphic xmlns:a="http://schemas.openxmlformats.org/drawingml/2006/main">
                  <a:graphicData uri="http://schemas.microsoft.com/office/word/2010/wordprocessingShape">
                    <wps:wsp>
                      <wps:cNvSpPr txBox="1"/>
                      <wps:spPr>
                        <a:xfrm>
                          <a:off x="0" y="0"/>
                          <a:ext cx="3110230" cy="6919595"/>
                        </a:xfrm>
                        <a:prstGeom prst="rect"/>
                        <a:solidFill>
                          <a:srgbClr val="FFFFFF"/>
                        </a:solidFill>
                      </wps:spPr>
                      <wps:txbx>
                        <w:txbxContent>
                          <w:p>
                            <w:pPr>
                              <w:pStyle w:val="TextBody"/>
                              <w:bidi w:val="0"/>
                              <w:spacing w:before="0" w:after="0"/>
                              <w:jc w:val="left"/>
                              <w:rPr>
                                <w:rFonts w:ascii="Arial" w:hAnsi="Arial"/>
                                <w:b/>
                                <w:color w:val="0A7DAC"/>
                                <w:sz w:val="25"/>
                              </w:rPr>
                            </w:pPr>
                            <w:bookmarkStart w:id="29" w:name="txa136145_6"/>
                            <w:bookmarkEnd w:id="29"/>
                            <w:r>
                              <w:rPr>
                                <w:rFonts w:ascii="Arial" w:hAnsi="Arial"/>
                                <w:b/>
                                <w:color w:val="0A7DAC"/>
                                <w:sz w:val="25"/>
                              </w:rPr>
                              <w:t xml:space="preserve">Principles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has established the following principles to guide the achievement of our compensation objectives and the design and administration of specific programs for our NEOs. </w:t>
                            </w:r>
                          </w:p>
                          <w:p>
                            <w:pPr>
                              <w:pStyle w:val="TextBody"/>
                              <w:bidi w:val="0"/>
                              <w:spacing w:before="360" w:after="0"/>
                              <w:jc w:val="left"/>
                              <w:rPr>
                                <w:rFonts w:ascii="Arial" w:hAnsi="Arial"/>
                                <w:b/>
                                <w:color w:val="191919"/>
                                <w:sz w:val="21"/>
                              </w:rPr>
                            </w:pPr>
                            <w:r>
                              <w:rPr>
                                <w:rFonts w:ascii="Arial" w:hAnsi="Arial"/>
                                <w:b/>
                                <w:color w:val="191919"/>
                                <w:sz w:val="21"/>
                              </w:rPr>
                              <w:t xml:space="preserve">Total Compensation Should be Primarily Performance-Based, With a Majority “At Risk” </w:t>
                            </w:r>
                          </w:p>
                          <w:p>
                            <w:pPr>
                              <w:pStyle w:val="TextBody"/>
                              <w:bidi w:val="0"/>
                              <w:spacing w:before="240" w:after="0"/>
                              <w:jc w:val="left"/>
                              <w:rPr>
                                <w:rFonts w:ascii="Arial" w:hAnsi="Arial"/>
                                <w:color w:val="191919"/>
                                <w:sz w:val="18"/>
                              </w:rPr>
                            </w:pPr>
                            <w:r>
                              <w:rPr>
                                <w:rFonts w:ascii="Arial" w:hAnsi="Arial"/>
                                <w:color w:val="191919"/>
                                <w:sz w:val="18"/>
                              </w:rPr>
                              <w:t xml:space="preserve">A meaningful portion of our executives’ total compensation should be performance-based (rather than fixed or merely variable), and at least a majority of total compensation should be “at risk” – in other words, variable dependent upon our stock price, our financial performance, or an executive’s individual performance. This ensures a strong correlation between executive pay and Company and individual performance, and it helps achieve our first compensation program objective: “Align Long-Term Executive and Shareholder Interests.” Additionally, the proportion of total compensation that is “at risk” versus fixed should increase in line with the scope and level of the executive’s responsibilities.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shows the percentage of each NEO’s total target compensation was “at risk” under the program. </w:t>
                            </w:r>
                          </w:p>
                          <w:p>
                            <w:pPr>
                              <w:pStyle w:val="TextBody"/>
                              <w:bidi w:val="0"/>
                              <w:spacing w:before="240" w:after="0"/>
                              <w:jc w:val="center"/>
                              <w:rPr>
                                <w:rFonts w:ascii="Arial" w:hAnsi="Arial"/>
                                <w:b/>
                                <w:color w:val="191919"/>
                                <w:sz w:val="21"/>
                              </w:rPr>
                            </w:pPr>
                            <w:r>
                              <w:rPr>
                                <w:rFonts w:ascii="Arial" w:hAnsi="Arial"/>
                                <w:b/>
                                <w:color w:val="191919"/>
                                <w:sz w:val="21"/>
                              </w:rPr>
                              <w:t xml:space="preserve">PERCENT OF FISCAL 2026 TARGET PAY “AT RISK”(1)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45435" cy="1697990"/>
                                  <wp:effectExtent l="0" t="0" r="0" b="0"/>
                                  <wp:docPr id="30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9" descr=""/>
                                          <pic:cNvPicPr>
                                            <a:picLocks noChangeAspect="1" noChangeArrowheads="1"/>
                                          </pic:cNvPicPr>
                                        </pic:nvPicPr>
                                        <pic:blipFill>
                                          <a:blip r:embed="rId290"/>
                                          <a:stretch>
                                            <a:fillRect/>
                                          </a:stretch>
                                        </pic:blipFill>
                                        <pic:spPr bwMode="auto">
                                          <a:xfrm>
                                            <a:off x="0" y="0"/>
                                            <a:ext cx="2845435" cy="1697990"/>
                                          </a:xfrm>
                                          <a:prstGeom prst="rect">
                                            <a:avLst/>
                                          </a:prstGeom>
                                        </pic:spPr>
                                      </pic:pic>
                                    </a:graphicData>
                                  </a:graphic>
                                </wp:inline>
                              </w:drawing>
                            </w:r>
                            <w:r>
                              <w:rPr/>
                              <w:t xml:space="preserve"> </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305"/>
                              <w:gridCol w:w="9005"/>
                            </w:tblGrid>
                            <w:tr>
                              <w:trPr/>
                              <w:tc>
                                <w:tcPr>
                                  <w:tcW w:w="305" w:type="dxa"/>
                                  <w:tcBorders/>
                                  <w:vAlign w:val="center"/>
                                </w:tcPr>
                                <w:p>
                                  <w:pPr>
                                    <w:pStyle w:val="TableContents"/>
                                    <w:bidi w:val="0"/>
                                    <w:spacing w:before="0" w:after="283"/>
                                    <w:jc w:val="left"/>
                                    <w:rPr>
                                      <w:i/>
                                      <w:color w:val="191919"/>
                                    </w:rPr>
                                  </w:pPr>
                                  <w:r>
                                    <w:rPr>
                                      <w:i/>
                                      <w:color w:val="191919"/>
                                    </w:rPr>
                                    <w:t>(1)</w:t>
                                  </w:r>
                                </w:p>
                              </w:tc>
                              <w:tc>
                                <w:tcPr>
                                  <w:tcW w:w="900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Calculated by dividing (i) the sum of the annual incentive opportunity and target long-term incentive opportunity by (ii) total target compensation.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4.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A7DAC"/>
                          <w:sz w:val="25"/>
                        </w:rPr>
                      </w:pPr>
                      <w:bookmarkStart w:id="30" w:name="txa136145_6"/>
                      <w:bookmarkEnd w:id="30"/>
                      <w:r>
                        <w:rPr>
                          <w:rFonts w:ascii="Arial" w:hAnsi="Arial"/>
                          <w:b/>
                          <w:color w:val="0A7DAC"/>
                          <w:sz w:val="25"/>
                        </w:rPr>
                        <w:t xml:space="preserve">Principles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has established the following principles to guide the achievement of our compensation objectives and the design and administration of specific programs for our NEOs. </w:t>
                      </w:r>
                    </w:p>
                    <w:p>
                      <w:pPr>
                        <w:pStyle w:val="TextBody"/>
                        <w:bidi w:val="0"/>
                        <w:spacing w:before="360" w:after="0"/>
                        <w:jc w:val="left"/>
                        <w:rPr>
                          <w:rFonts w:ascii="Arial" w:hAnsi="Arial"/>
                          <w:b/>
                          <w:color w:val="191919"/>
                          <w:sz w:val="21"/>
                        </w:rPr>
                      </w:pPr>
                      <w:r>
                        <w:rPr>
                          <w:rFonts w:ascii="Arial" w:hAnsi="Arial"/>
                          <w:b/>
                          <w:color w:val="191919"/>
                          <w:sz w:val="21"/>
                        </w:rPr>
                        <w:t xml:space="preserve">Total Compensation Should be Primarily Performance-Based, With a Majority “At Risk” </w:t>
                      </w:r>
                    </w:p>
                    <w:p>
                      <w:pPr>
                        <w:pStyle w:val="TextBody"/>
                        <w:bidi w:val="0"/>
                        <w:spacing w:before="240" w:after="0"/>
                        <w:jc w:val="left"/>
                        <w:rPr>
                          <w:rFonts w:ascii="Arial" w:hAnsi="Arial"/>
                          <w:color w:val="191919"/>
                          <w:sz w:val="18"/>
                        </w:rPr>
                      </w:pPr>
                      <w:r>
                        <w:rPr>
                          <w:rFonts w:ascii="Arial" w:hAnsi="Arial"/>
                          <w:color w:val="191919"/>
                          <w:sz w:val="18"/>
                        </w:rPr>
                        <w:t xml:space="preserve">A meaningful portion of our executives’ total compensation should be performance-based (rather than fixed or merely variable), and at least a majority of total compensation should be “at risk” – in other words, variable dependent upon our stock price, our financial performance, or an executive’s individual performance. This ensures a strong correlation between executive pay and Company and individual performance, and it helps achieve our first compensation program objective: “Align Long-Term Executive and Shareholder Interests.” Additionally, the proportion of total compensation that is “at risk” versus fixed should increase in line with the scope and level of the executive’s responsibilities.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shows the percentage of each NEO’s total target compensation was “at risk” under the program. </w:t>
                      </w:r>
                    </w:p>
                    <w:p>
                      <w:pPr>
                        <w:pStyle w:val="TextBody"/>
                        <w:bidi w:val="0"/>
                        <w:spacing w:before="240" w:after="0"/>
                        <w:jc w:val="center"/>
                        <w:rPr>
                          <w:rFonts w:ascii="Arial" w:hAnsi="Arial"/>
                          <w:b/>
                          <w:color w:val="191919"/>
                          <w:sz w:val="21"/>
                        </w:rPr>
                      </w:pPr>
                      <w:r>
                        <w:rPr>
                          <w:rFonts w:ascii="Arial" w:hAnsi="Arial"/>
                          <w:b/>
                          <w:color w:val="191919"/>
                          <w:sz w:val="21"/>
                        </w:rPr>
                        <w:t xml:space="preserve">PERCENT OF FISCAL 2026 TARGET PAY “AT RISK”(1)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45435" cy="1697990"/>
                            <wp:effectExtent l="0" t="0" r="0" b="0"/>
                            <wp:docPr id="305"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9" descr=""/>
                                    <pic:cNvPicPr>
                                      <a:picLocks noChangeAspect="1" noChangeArrowheads="1"/>
                                    </pic:cNvPicPr>
                                  </pic:nvPicPr>
                                  <pic:blipFill>
                                    <a:blip r:embed="rId291"/>
                                    <a:stretch>
                                      <a:fillRect/>
                                    </a:stretch>
                                  </pic:blipFill>
                                  <pic:spPr bwMode="auto">
                                    <a:xfrm>
                                      <a:off x="0" y="0"/>
                                      <a:ext cx="2845435" cy="1697990"/>
                                    </a:xfrm>
                                    <a:prstGeom prst="rect">
                                      <a:avLst/>
                                    </a:prstGeom>
                                  </pic:spPr>
                                </pic:pic>
                              </a:graphicData>
                            </a:graphic>
                          </wp:inline>
                        </w:drawing>
                      </w:r>
                      <w:r>
                        <w:rPr/>
                        <w:t xml:space="preserve"> </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305"/>
                        <w:gridCol w:w="9005"/>
                      </w:tblGrid>
                      <w:tr>
                        <w:trPr/>
                        <w:tc>
                          <w:tcPr>
                            <w:tcW w:w="305" w:type="dxa"/>
                            <w:tcBorders/>
                            <w:vAlign w:val="center"/>
                          </w:tcPr>
                          <w:p>
                            <w:pPr>
                              <w:pStyle w:val="TableContents"/>
                              <w:bidi w:val="0"/>
                              <w:spacing w:before="0" w:after="283"/>
                              <w:jc w:val="left"/>
                              <w:rPr>
                                <w:i/>
                                <w:color w:val="191919"/>
                              </w:rPr>
                            </w:pPr>
                            <w:r>
                              <w:rPr>
                                <w:i/>
                                <w:color w:val="191919"/>
                              </w:rPr>
                              <w:t>(1)</w:t>
                            </w:r>
                          </w:p>
                        </w:tc>
                        <w:tc>
                          <w:tcPr>
                            <w:tcW w:w="900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Calculated by dividing (i) the sum of the annual incentive opportunity and target long-term incentive opportunity by (ii) total target compensation.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3175000" cy="6032500"/>
                <wp:effectExtent l="0" t="0" r="0" b="0"/>
                <wp:wrapSquare wrapText="right"/>
                <wp:docPr id="306" name="Frame16"/>
                <a:graphic xmlns:a="http://schemas.openxmlformats.org/drawingml/2006/main">
                  <a:graphicData uri="http://schemas.microsoft.com/office/word/2010/wordprocessingShape">
                    <wps:wsp>
                      <wps:cNvSpPr txBox="1"/>
                      <wps:spPr>
                        <a:xfrm>
                          <a:off x="0" y="0"/>
                          <a:ext cx="3175000" cy="6032500"/>
                        </a:xfrm>
                        <a:prstGeom prst="rect"/>
                        <a:solidFill>
                          <a:srgbClr val="FFFFFF"/>
                        </a:solidFill>
                      </wps:spPr>
                      <wps:txbx>
                        <w:txbxContent>
                          <w:p>
                            <w:pPr>
                              <w:pStyle w:val="TextBody"/>
                              <w:bidi w:val="0"/>
                              <w:spacing w:before="0" w:after="0"/>
                              <w:jc w:val="left"/>
                              <w:rPr>
                                <w:rFonts w:ascii="Arial" w:hAnsi="Arial"/>
                                <w:b/>
                                <w:color w:val="191919"/>
                                <w:sz w:val="21"/>
                              </w:rPr>
                            </w:pPr>
                            <w:r>
                              <w:rPr>
                                <w:rFonts w:ascii="Arial" w:hAnsi="Arial"/>
                                <w:b/>
                                <w:color w:val="191919"/>
                                <w:sz w:val="21"/>
                              </w:rPr>
                              <w:t xml:space="preserve">Incentive Compensation Should Balance Short-Term and Long-Term Performance </w:t>
                            </w:r>
                          </w:p>
                          <w:p>
                            <w:pPr>
                              <w:pStyle w:val="TextBody"/>
                              <w:bidi w:val="0"/>
                              <w:spacing w:before="240" w:after="0"/>
                              <w:jc w:val="left"/>
                              <w:rPr>
                                <w:rFonts w:ascii="Arial" w:hAnsi="Arial"/>
                                <w:color w:val="191919"/>
                                <w:sz w:val="18"/>
                              </w:rPr>
                            </w:pPr>
                            <w:r>
                              <w:rPr>
                                <w:rFonts w:ascii="Arial" w:hAnsi="Arial"/>
                                <w:color w:val="191919"/>
                                <w:sz w:val="18"/>
                              </w:rPr>
                              <w:t xml:space="preserve">Executive compensation should be linked to building long-term shareholder value while remaining consistent with our business objectives. The Base Salary and Annual Incentive compensation elements emphasize short-term financial and individual performance, as well as the achievement of annually defined business and financial objectives. The Long-Term Equity Incentive compensation element emphasizes long-term financial performance and strategic plan execution by tying a meaningful portion of compensation to the performance of the Company’s common stock. </w:t>
                            </w:r>
                          </w:p>
                          <w:p>
                            <w:pPr>
                              <w:pStyle w:val="TextBody"/>
                              <w:bidi w:val="0"/>
                              <w:spacing w:before="360" w:after="0"/>
                              <w:jc w:val="left"/>
                              <w:rPr>
                                <w:rFonts w:ascii="Arial" w:hAnsi="Arial"/>
                                <w:b/>
                                <w:color w:val="191919"/>
                                <w:sz w:val="21"/>
                              </w:rPr>
                            </w:pPr>
                            <w:r>
                              <w:rPr>
                                <w:rFonts w:ascii="Arial" w:hAnsi="Arial"/>
                                <w:b/>
                                <w:color w:val="191919"/>
                                <w:sz w:val="21"/>
                              </w:rPr>
                              <w:t xml:space="preserve">Compensation Should be Market Competitive and Reflect Individual Performance </w:t>
                            </w:r>
                          </w:p>
                          <w:p>
                            <w:pPr>
                              <w:pStyle w:val="TextBody"/>
                              <w:bidi w:val="0"/>
                              <w:spacing w:before="240" w:after="0"/>
                              <w:jc w:val="left"/>
                              <w:rPr>
                                <w:rFonts w:ascii="Arial" w:hAnsi="Arial"/>
                                <w:color w:val="191919"/>
                                <w:sz w:val="18"/>
                              </w:rPr>
                            </w:pPr>
                            <w:r>
                              <w:rPr>
                                <w:rFonts w:ascii="Arial" w:hAnsi="Arial"/>
                                <w:color w:val="191919"/>
                                <w:sz w:val="18"/>
                              </w:rPr>
                              <w:t xml:space="preserve">Achievement of our compensation objectives requires our compensation program, and the compensation elements within it, to be market competitive. If we are unable to attract and retain top executive talent within the markets in which we compete, we will hinder our ability to create long-term shareholder value. As discussed above, the Compensation Committee utilizes the Compensation Peer Group and relevant market compensation survey data, with the assistance of its independent compensation consultant, to ensure our compensation program is benchmarked and that each NEO’s total target compensation is appropriately tailored for the leadership roles in which they serve. </w:t>
                            </w:r>
                          </w:p>
                          <w:p>
                            <w:pPr>
                              <w:pStyle w:val="TextBody"/>
                              <w:bidi w:val="0"/>
                              <w:spacing w:before="240" w:after="0"/>
                              <w:jc w:val="left"/>
                              <w:rPr>
                                <w:rFonts w:ascii="Arial" w:hAnsi="Arial"/>
                                <w:color w:val="191919"/>
                                <w:sz w:val="18"/>
                              </w:rPr>
                            </w:pPr>
                            <w:r>
                              <w:rPr>
                                <w:rFonts w:ascii="Arial" w:hAnsi="Arial"/>
                                <w:color w:val="191919"/>
                                <w:sz w:val="18"/>
                              </w:rPr>
                              <w:t xml:space="preserve">At the same time, a critical aspect of our culture examines </w:t>
                            </w:r>
                            <w:r>
                              <w:rPr>
                                <w:rFonts w:ascii="Arial" w:hAnsi="Arial"/>
                                <w:b/>
                                <w:i/>
                                <w:color w:val="191919"/>
                                <w:sz w:val="18"/>
                              </w:rPr>
                              <w:t xml:space="preserve">how </w:t>
                            </w:r>
                            <w:r>
                              <w:rPr>
                                <w:rFonts w:ascii="Arial" w:hAnsi="Arial"/>
                                <w:color w:val="191919"/>
                                <w:sz w:val="18"/>
                              </w:rPr>
                              <w:t xml:space="preserve">the Company succeeds, which is reinforced through our </w:t>
                            </w:r>
                            <w:r>
                              <w:rPr>
                                <w:rFonts w:ascii="Arial" w:hAnsi="Arial"/>
                                <w:b/>
                                <w:i/>
                                <w:color w:val="191919"/>
                                <w:sz w:val="18"/>
                              </w:rPr>
                              <w:t>ACT. RISE.</w:t>
                            </w:r>
                            <w:r>
                              <w:rPr>
                                <w:rFonts w:ascii="Arial" w:hAnsi="Arial"/>
                                <w:color w:val="191919"/>
                                <w:sz w:val="18"/>
                              </w:rPr>
                              <w:t xml:space="preserve"> core values. We seek to attract and retain executive leaders who exemplify our values in how they lead and accomplish business objectives. Compensation programs that are overly focused on market benchmarking, or incentive plans that are purely formulaic, are limited in their ability to account for qualitative performance assessments. This creates program risk and can work against the Company’s and shareholders’ long-term interests. Accordingly, the Compensation Committee retains an element of discretion to ensure an executive’s realized compensation reflects individual, qualitative performance, consistent with our culture and values.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191919"/>
                          <w:sz w:val="21"/>
                        </w:rPr>
                      </w:pPr>
                      <w:r>
                        <w:rPr>
                          <w:rFonts w:ascii="Arial" w:hAnsi="Arial"/>
                          <w:b/>
                          <w:color w:val="191919"/>
                          <w:sz w:val="21"/>
                        </w:rPr>
                        <w:t xml:space="preserve">Incentive Compensation Should Balance Short-Term and Long-Term Performance </w:t>
                      </w:r>
                    </w:p>
                    <w:p>
                      <w:pPr>
                        <w:pStyle w:val="TextBody"/>
                        <w:bidi w:val="0"/>
                        <w:spacing w:before="240" w:after="0"/>
                        <w:jc w:val="left"/>
                        <w:rPr>
                          <w:rFonts w:ascii="Arial" w:hAnsi="Arial"/>
                          <w:color w:val="191919"/>
                          <w:sz w:val="18"/>
                        </w:rPr>
                      </w:pPr>
                      <w:r>
                        <w:rPr>
                          <w:rFonts w:ascii="Arial" w:hAnsi="Arial"/>
                          <w:color w:val="191919"/>
                          <w:sz w:val="18"/>
                        </w:rPr>
                        <w:t xml:space="preserve">Executive compensation should be linked to building long-term shareholder value while remaining consistent with our business objectives. The Base Salary and Annual Incentive compensation elements emphasize short-term financial and individual performance, as well as the achievement of annually defined business and financial objectives. The Long-Term Equity Incentive compensation element emphasizes long-term financial performance and strategic plan execution by tying a meaningful portion of compensation to the performance of the Company’s common stock. </w:t>
                      </w:r>
                    </w:p>
                    <w:p>
                      <w:pPr>
                        <w:pStyle w:val="TextBody"/>
                        <w:bidi w:val="0"/>
                        <w:spacing w:before="360" w:after="0"/>
                        <w:jc w:val="left"/>
                        <w:rPr>
                          <w:rFonts w:ascii="Arial" w:hAnsi="Arial"/>
                          <w:b/>
                          <w:color w:val="191919"/>
                          <w:sz w:val="21"/>
                        </w:rPr>
                      </w:pPr>
                      <w:r>
                        <w:rPr>
                          <w:rFonts w:ascii="Arial" w:hAnsi="Arial"/>
                          <w:b/>
                          <w:color w:val="191919"/>
                          <w:sz w:val="21"/>
                        </w:rPr>
                        <w:t xml:space="preserve">Compensation Should be Market Competitive and Reflect Individual Performance </w:t>
                      </w:r>
                    </w:p>
                    <w:p>
                      <w:pPr>
                        <w:pStyle w:val="TextBody"/>
                        <w:bidi w:val="0"/>
                        <w:spacing w:before="240" w:after="0"/>
                        <w:jc w:val="left"/>
                        <w:rPr>
                          <w:rFonts w:ascii="Arial" w:hAnsi="Arial"/>
                          <w:color w:val="191919"/>
                          <w:sz w:val="18"/>
                        </w:rPr>
                      </w:pPr>
                      <w:r>
                        <w:rPr>
                          <w:rFonts w:ascii="Arial" w:hAnsi="Arial"/>
                          <w:color w:val="191919"/>
                          <w:sz w:val="18"/>
                        </w:rPr>
                        <w:t xml:space="preserve">Achievement of our compensation objectives requires our compensation program, and the compensation elements within it, to be market competitive. If we are unable to attract and retain top executive talent within the markets in which we compete, we will hinder our ability to create long-term shareholder value. As discussed above, the Compensation Committee utilizes the Compensation Peer Group and relevant market compensation survey data, with the assistance of its independent compensation consultant, to ensure our compensation program is benchmarked and that each NEO’s total target compensation is appropriately tailored for the leadership roles in which they serve. </w:t>
                      </w:r>
                    </w:p>
                    <w:p>
                      <w:pPr>
                        <w:pStyle w:val="TextBody"/>
                        <w:bidi w:val="0"/>
                        <w:spacing w:before="240" w:after="0"/>
                        <w:jc w:val="left"/>
                        <w:rPr>
                          <w:rFonts w:ascii="Arial" w:hAnsi="Arial"/>
                          <w:color w:val="191919"/>
                          <w:sz w:val="18"/>
                        </w:rPr>
                      </w:pPr>
                      <w:r>
                        <w:rPr>
                          <w:rFonts w:ascii="Arial" w:hAnsi="Arial"/>
                          <w:color w:val="191919"/>
                          <w:sz w:val="18"/>
                        </w:rPr>
                        <w:t xml:space="preserve">At the same time, a critical aspect of our culture examines </w:t>
                      </w:r>
                      <w:r>
                        <w:rPr>
                          <w:rFonts w:ascii="Arial" w:hAnsi="Arial"/>
                          <w:b/>
                          <w:i/>
                          <w:color w:val="191919"/>
                          <w:sz w:val="18"/>
                        </w:rPr>
                        <w:t xml:space="preserve">how </w:t>
                      </w:r>
                      <w:r>
                        <w:rPr>
                          <w:rFonts w:ascii="Arial" w:hAnsi="Arial"/>
                          <w:color w:val="191919"/>
                          <w:sz w:val="18"/>
                        </w:rPr>
                        <w:t xml:space="preserve">the Company succeeds, which is reinforced through our </w:t>
                      </w:r>
                      <w:r>
                        <w:rPr>
                          <w:rFonts w:ascii="Arial" w:hAnsi="Arial"/>
                          <w:b/>
                          <w:i/>
                          <w:color w:val="191919"/>
                          <w:sz w:val="18"/>
                        </w:rPr>
                        <w:t>ACT. RISE.</w:t>
                      </w:r>
                      <w:r>
                        <w:rPr>
                          <w:rFonts w:ascii="Arial" w:hAnsi="Arial"/>
                          <w:color w:val="191919"/>
                          <w:sz w:val="18"/>
                        </w:rPr>
                        <w:t xml:space="preserve"> core values. We seek to attract and retain executive leaders who exemplify our values in how they lead and accomplish business objectives. Compensation programs that are overly focused on market benchmarking, or incentive plans that are purely formulaic, are limited in their ability to account for qualitative performance assessments. This creates program risk and can work against the Company’s and shareholders’ long-term interests. Accordingly, the Compensation Committee retains an element of discretion to ensure an executive’s realized compensation reflects individual, qualitative performance, consistent with our culture and values. </w:t>
                      </w:r>
                    </w:p>
                  </w:txbxContent>
                </v:textbox>
                <w10:wrap type="square" side="right"/>
              </v:rect>
            </w:pict>
          </mc:Fallback>
        </mc:AlternateConten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07"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90" descr=""/>
                          <pic:cNvPicPr>
                            <a:picLocks noChangeAspect="1" noChangeArrowheads="1"/>
                          </pic:cNvPicPr>
                        </pic:nvPicPr>
                        <pic:blipFill>
                          <a:blip r:embed="rId29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3110230" cy="3394710"/>
                <wp:effectExtent l="0" t="0" r="0" b="0"/>
                <wp:wrapSquare wrapText="right"/>
                <wp:docPr id="308" name="Frame17"/>
                <a:graphic xmlns:a="http://schemas.openxmlformats.org/drawingml/2006/main">
                  <a:graphicData uri="http://schemas.microsoft.com/office/word/2010/wordprocessingShape">
                    <wps:wsp>
                      <wps:cNvSpPr txBox="1"/>
                      <wps:spPr>
                        <a:xfrm>
                          <a:off x="0" y="0"/>
                          <a:ext cx="3110230" cy="3394710"/>
                        </a:xfrm>
                        <a:prstGeom prst="rect"/>
                        <a:solidFill>
                          <a:srgbClr val="FFFFFF"/>
                        </a:solidFill>
                      </wps:spPr>
                      <wps:txbx>
                        <w:txbxContent>
                          <w:p>
                            <w:pPr>
                              <w:pStyle w:val="TextBody"/>
                              <w:bidi w:val="0"/>
                              <w:spacing w:before="0" w:after="0"/>
                              <w:jc w:val="left"/>
                              <w:rPr>
                                <w:rFonts w:ascii="Arial" w:hAnsi="Arial"/>
                                <w:b/>
                                <w:color w:val="191919"/>
                                <w:sz w:val="21"/>
                              </w:rPr>
                            </w:pPr>
                            <w:r>
                              <w:rPr>
                                <w:rFonts w:ascii="Arial" w:hAnsi="Arial"/>
                                <w:b/>
                                <w:color w:val="191919"/>
                                <w:sz w:val="21"/>
                              </w:rPr>
                              <w:t xml:space="preserve">Performance-Based Compensation Metrics Should Be Objective, Clear, Challenging, and Achievable </w:t>
                            </w:r>
                          </w:p>
                          <w:p>
                            <w:pPr>
                              <w:pStyle w:val="TextBody"/>
                              <w:bidi w:val="0"/>
                              <w:spacing w:before="240" w:after="0"/>
                              <w:jc w:val="left"/>
                              <w:rPr>
                                <w:rFonts w:ascii="Arial" w:hAnsi="Arial"/>
                                <w:color w:val="191919"/>
                                <w:sz w:val="18"/>
                              </w:rPr>
                            </w:pPr>
                            <w:r>
                              <w:rPr>
                                <w:rFonts w:ascii="Arial" w:hAnsi="Arial"/>
                                <w:color w:val="191919"/>
                                <w:sz w:val="18"/>
                              </w:rPr>
                              <w:t xml:space="preserve">In simple terms, the objective of any performance- or incentive-based program is to produce a desired result. Achievement of a desired result cannot be determined if the desired result is not objectively defined. Additionally, performance targets must be clear and uncomplicated so that a path to achievement can be developed and understood. As such, the Compensation Committee establishes our incentive plans with objective, clearly defined performance targets that are focused on performance metrics that our Board believes are most critical to the Company’s success. </w:t>
                            </w:r>
                          </w:p>
                          <w:p>
                            <w:pPr>
                              <w:pStyle w:val="TextBody"/>
                              <w:bidi w:val="0"/>
                              <w:spacing w:before="240" w:after="0"/>
                              <w:jc w:val="left"/>
                              <w:rPr>
                                <w:rFonts w:ascii="Arial" w:hAnsi="Arial"/>
                                <w:color w:val="191919"/>
                                <w:sz w:val="18"/>
                              </w:rPr>
                            </w:pPr>
                            <w:r>
                              <w:rPr>
                                <w:rFonts w:ascii="Arial" w:hAnsi="Arial"/>
                                <w:color w:val="191919"/>
                                <w:sz w:val="18"/>
                              </w:rPr>
                              <w:t xml:space="preserve">Aligning our incentive compensation programs with shareholder interests requires that NEOs be paid commensurate with performance, and performance targets must be challenging to create shareholder value. At the same time, performance targets must be realistically achievable to create the proper incentive and reward structure, or else a disincentive risk can emerge. The Compensation Committee balances these interests by setting performance targets at levels requiring significant effort and achievement by our NEOs, relative to Company circumstances and market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7.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191919"/>
                          <w:sz w:val="21"/>
                        </w:rPr>
                      </w:pPr>
                      <w:r>
                        <w:rPr>
                          <w:rFonts w:ascii="Arial" w:hAnsi="Arial"/>
                          <w:b/>
                          <w:color w:val="191919"/>
                          <w:sz w:val="21"/>
                        </w:rPr>
                        <w:t xml:space="preserve">Performance-Based Compensation Metrics Should Be Objective, Clear, Challenging, and Achievable </w:t>
                      </w:r>
                    </w:p>
                    <w:p>
                      <w:pPr>
                        <w:pStyle w:val="TextBody"/>
                        <w:bidi w:val="0"/>
                        <w:spacing w:before="240" w:after="0"/>
                        <w:jc w:val="left"/>
                        <w:rPr>
                          <w:rFonts w:ascii="Arial" w:hAnsi="Arial"/>
                          <w:color w:val="191919"/>
                          <w:sz w:val="18"/>
                        </w:rPr>
                      </w:pPr>
                      <w:r>
                        <w:rPr>
                          <w:rFonts w:ascii="Arial" w:hAnsi="Arial"/>
                          <w:color w:val="191919"/>
                          <w:sz w:val="18"/>
                        </w:rPr>
                        <w:t xml:space="preserve">In simple terms, the objective of any performance- or incentive-based program is to produce a desired result. Achievement of a desired result cannot be determined if the desired result is not objectively defined. Additionally, performance targets must be clear and uncomplicated so that a path to achievement can be developed and understood. As such, the Compensation Committee establishes our incentive plans with objective, clearly defined performance targets that are focused on performance metrics that our Board believes are most critical to the Company’s success. </w:t>
                      </w:r>
                    </w:p>
                    <w:p>
                      <w:pPr>
                        <w:pStyle w:val="TextBody"/>
                        <w:bidi w:val="0"/>
                        <w:spacing w:before="240" w:after="0"/>
                        <w:jc w:val="left"/>
                        <w:rPr>
                          <w:rFonts w:ascii="Arial" w:hAnsi="Arial"/>
                          <w:color w:val="191919"/>
                          <w:sz w:val="18"/>
                        </w:rPr>
                      </w:pPr>
                      <w:r>
                        <w:rPr>
                          <w:rFonts w:ascii="Arial" w:hAnsi="Arial"/>
                          <w:color w:val="191919"/>
                          <w:sz w:val="18"/>
                        </w:rPr>
                        <w:t xml:space="preserve">Aligning our incentive compensation programs with shareholder interests requires that NEOs be paid commensurate with performance, and performance targets must be challenging to create shareholder value. At the same time, performance targets must be realistically achievable to create the proper incentive and reward structure, or else a disincentive risk can emerge. The Compensation Committee balances these interests by setting performance targets at levels requiring significant effort and achievement by our NEOs, relative to Company circumstances and market </w:t>
                      </w:r>
                    </w:p>
                  </w:txbxContent>
                </v:textbox>
                <w10:wrap type="square" side="right"/>
              </v:rect>
            </w:pict>
          </mc:Fallback>
        </mc:AlternateConten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3175000" cy="3469640"/>
                <wp:effectExtent l="0" t="0" r="0" b="0"/>
                <wp:wrapSquare wrapText="right"/>
                <wp:docPr id="309" name="Frame18"/>
                <a:graphic xmlns:a="http://schemas.openxmlformats.org/drawingml/2006/main">
                  <a:graphicData uri="http://schemas.microsoft.com/office/word/2010/wordprocessingShape">
                    <wps:wsp>
                      <wps:cNvSpPr txBox="1"/>
                      <wps:spPr>
                        <a:xfrm>
                          <a:off x="0" y="0"/>
                          <a:ext cx="3175000" cy="346964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conditions, for a target-level payout to occur, within a structure that provides a meaningful incentive to drive overperformance. </w:t>
                            </w:r>
                          </w:p>
                          <w:p>
                            <w:pPr>
                              <w:pStyle w:val="TextBody"/>
                              <w:bidi w:val="0"/>
                              <w:spacing w:before="360" w:after="0"/>
                              <w:jc w:val="left"/>
                              <w:rPr>
                                <w:rFonts w:ascii="Arial" w:hAnsi="Arial"/>
                                <w:b/>
                                <w:color w:val="191919"/>
                                <w:sz w:val="21"/>
                              </w:rPr>
                            </w:pPr>
                            <w:r>
                              <w:rPr>
                                <w:rFonts w:ascii="Arial" w:hAnsi="Arial"/>
                                <w:b/>
                                <w:color w:val="191919"/>
                                <w:sz w:val="21"/>
                              </w:rPr>
                              <w:t xml:space="preserve">Performance-Based Metrics Should be Externally Benchmarked </w:t>
                            </w:r>
                          </w:p>
                          <w:p>
                            <w:pPr>
                              <w:pStyle w:val="TextBody"/>
                              <w:bidi w:val="0"/>
                              <w:spacing w:before="240" w:after="0"/>
                              <w:jc w:val="left"/>
                              <w:rPr>
                                <w:rFonts w:ascii="Arial" w:hAnsi="Arial"/>
                                <w:color w:val="191919"/>
                                <w:sz w:val="18"/>
                              </w:rPr>
                            </w:pPr>
                            <w:r>
                              <w:rPr>
                                <w:rFonts w:ascii="Arial" w:hAnsi="Arial"/>
                                <w:color w:val="191919"/>
                                <w:sz w:val="18"/>
                              </w:rPr>
                              <w:t xml:space="preserve">Measuring how the Company performs against internally developed targets is an important aspect of incentive compensation, as it sets expectations and motivates performance. However, internal performance metrics alone do not create a full picture of Company performance. As such, the performance-based elements of our executive compensation program should also evaluate the Company’s performance relative to external benchmarks. </w:t>
                            </w:r>
                          </w:p>
                          <w:p>
                            <w:pPr>
                              <w:pStyle w:val="TextBody"/>
                              <w:bidi w:val="0"/>
                              <w:spacing w:before="240" w:after="0"/>
                              <w:jc w:val="left"/>
                              <w:rPr>
                                <w:rFonts w:ascii="Arial" w:hAnsi="Arial"/>
                                <w:color w:val="191919"/>
                                <w:sz w:val="18"/>
                              </w:rPr>
                            </w:pPr>
                            <w:r>
                              <w:rPr>
                                <w:rFonts w:ascii="Arial" w:hAnsi="Arial"/>
                                <w:color w:val="191919"/>
                                <w:sz w:val="18"/>
                              </w:rPr>
                              <w:t xml:space="preserve">Since inception, the performance shares granted under our LTIP have used an external benchmark for measuring Company performance, and since 2017, that benchmark has been the Russell 2000 Index, of which the Company is a member. This shows, on a relative basis, how well we deliver results that directly create long-term shareholder value. Additionally, AIP performance metric targets are set in reference to how the Company is expected to perform both compared to the prior year and relative to forecasted market growth rates.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3.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conditions, for a target-level payout to occur, within a structure that provides a meaningful incentive to drive overperformance. </w:t>
                      </w:r>
                    </w:p>
                    <w:p>
                      <w:pPr>
                        <w:pStyle w:val="TextBody"/>
                        <w:bidi w:val="0"/>
                        <w:spacing w:before="360" w:after="0"/>
                        <w:jc w:val="left"/>
                        <w:rPr>
                          <w:rFonts w:ascii="Arial" w:hAnsi="Arial"/>
                          <w:b/>
                          <w:color w:val="191919"/>
                          <w:sz w:val="21"/>
                        </w:rPr>
                      </w:pPr>
                      <w:r>
                        <w:rPr>
                          <w:rFonts w:ascii="Arial" w:hAnsi="Arial"/>
                          <w:b/>
                          <w:color w:val="191919"/>
                          <w:sz w:val="21"/>
                        </w:rPr>
                        <w:t xml:space="preserve">Performance-Based Metrics Should be Externally Benchmarked </w:t>
                      </w:r>
                    </w:p>
                    <w:p>
                      <w:pPr>
                        <w:pStyle w:val="TextBody"/>
                        <w:bidi w:val="0"/>
                        <w:spacing w:before="240" w:after="0"/>
                        <w:jc w:val="left"/>
                        <w:rPr>
                          <w:rFonts w:ascii="Arial" w:hAnsi="Arial"/>
                          <w:color w:val="191919"/>
                          <w:sz w:val="18"/>
                        </w:rPr>
                      </w:pPr>
                      <w:r>
                        <w:rPr>
                          <w:rFonts w:ascii="Arial" w:hAnsi="Arial"/>
                          <w:color w:val="191919"/>
                          <w:sz w:val="18"/>
                        </w:rPr>
                        <w:t xml:space="preserve">Measuring how the Company performs against internally developed targets is an important aspect of incentive compensation, as it sets expectations and motivates performance. However, internal performance metrics alone do not create a full picture of Company performance. As such, the performance-based elements of our executive compensation program should also evaluate the Company’s performance relative to external benchmarks. </w:t>
                      </w:r>
                    </w:p>
                    <w:p>
                      <w:pPr>
                        <w:pStyle w:val="TextBody"/>
                        <w:bidi w:val="0"/>
                        <w:spacing w:before="240" w:after="0"/>
                        <w:jc w:val="left"/>
                        <w:rPr>
                          <w:rFonts w:ascii="Arial" w:hAnsi="Arial"/>
                          <w:color w:val="191919"/>
                          <w:sz w:val="18"/>
                        </w:rPr>
                      </w:pPr>
                      <w:r>
                        <w:rPr>
                          <w:rFonts w:ascii="Arial" w:hAnsi="Arial"/>
                          <w:color w:val="191919"/>
                          <w:sz w:val="18"/>
                        </w:rPr>
                        <w:t xml:space="preserve">Since inception, the performance shares granted under our LTIP have used an external benchmark for measuring Company performance, and since 2017, that benchmark has been the Russell 2000 Index, of which the Company is a member. This shows, on a relative basis, how well we deliver results that directly create long-term shareholder value. Additionally, AIP performance metric targets are set in reference to how the Company is expected to perform both compared to the prior year and relative to forecasted market growth rates.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2841" w:type="dxa"/>
        <w:jc w:val="left"/>
        <w:tblInd w:w="0" w:type="dxa"/>
        <w:tblLayout w:type="fixed"/>
        <w:tblCellMar>
          <w:top w:w="0" w:type="dxa"/>
          <w:left w:w="0" w:type="dxa"/>
          <w:bottom w:w="0" w:type="dxa"/>
          <w:right w:w="0" w:type="dxa"/>
        </w:tblCellMar>
      </w:tblPr>
      <w:tblGrid>
        <w:gridCol w:w="1355"/>
        <w:gridCol w:w="60"/>
        <w:gridCol w:w="1426"/>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bookmarkStart w:id="31" w:name="txa136145_7"/>
            <w:bookmarkStart w:id="32" w:name="txa136145_7"/>
            <w:bookmarkEnd w:id="32"/>
          </w:p>
        </w:tc>
      </w:tr>
      <w:tr>
        <w:trPr/>
        <w:tc>
          <w:tcPr>
            <w:tcW w:w="1355" w:type="dxa"/>
            <w:tcBorders/>
            <w:vAlign w:val="center"/>
          </w:tcPr>
          <w:p>
            <w:pPr>
              <w:pStyle w:val="TableContents"/>
              <w:bidi w:val="0"/>
              <w:spacing w:before="0" w:after="283"/>
              <w:jc w:val="left"/>
              <w:rPr>
                <w:b/>
                <w:color w:val="0A7DAC"/>
                <w:sz w:val="25"/>
              </w:rPr>
            </w:pPr>
            <w:r>
              <w:rPr>
                <w:b/>
                <w:color w:val="0A7DAC"/>
                <w:sz w:val="25"/>
              </w:rPr>
              <w:t>Base Salary</w:t>
            </w:r>
          </w:p>
        </w:tc>
        <w:tc>
          <w:tcPr>
            <w:tcW w:w="60"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0"/>
              <w:jc w:val="left"/>
              <w:rPr/>
            </w:pPr>
            <w:r>
              <w:rPr/>
              <w:drawing>
                <wp:inline distT="0" distB="0" distL="0" distR="0">
                  <wp:extent cx="443865" cy="275590"/>
                  <wp:effectExtent l="0" t="0" r="0" b="0"/>
                  <wp:docPr id="310"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91" descr=""/>
                          <pic:cNvPicPr>
                            <a:picLocks noChangeAspect="1" noChangeArrowheads="1"/>
                          </pic:cNvPicPr>
                        </pic:nvPicPr>
                        <pic:blipFill>
                          <a:blip r:embed="rId293"/>
                          <a:stretch>
                            <a:fillRect/>
                          </a:stretch>
                        </pic:blipFill>
                        <pic:spPr bwMode="auto">
                          <a:xfrm>
                            <a:off x="0" y="0"/>
                            <a:ext cx="443865" cy="275590"/>
                          </a:xfrm>
                          <a:prstGeom prst="rect">
                            <a:avLst/>
                          </a:prstGeom>
                        </pic:spPr>
                      </pic:pic>
                    </a:graphicData>
                  </a:graphic>
                </wp:inline>
              </w:drawing>
            </w:r>
            <w:r>
              <w:rPr/>
              <w:t xml:space="preserve">   </w:t>
            </w:r>
            <w:r>
              <w:rPr/>
              <w:drawing>
                <wp:inline distT="0" distB="0" distL="0" distR="0">
                  <wp:extent cx="296545" cy="275590"/>
                  <wp:effectExtent l="0" t="0" r="0" b="0"/>
                  <wp:docPr id="311"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92" descr=""/>
                          <pic:cNvPicPr>
                            <a:picLocks noChangeAspect="1" noChangeArrowheads="1"/>
                          </pic:cNvPicPr>
                        </pic:nvPicPr>
                        <pic:blipFill>
                          <a:blip r:embed="rId294"/>
                          <a:stretch>
                            <a:fillRect/>
                          </a:stretch>
                        </pic:blipFill>
                        <pic:spPr bwMode="auto">
                          <a:xfrm>
                            <a:off x="0" y="0"/>
                            <a:ext cx="296545" cy="27559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left"/>
        <w:rPr>
          <w:rFonts w:ascii="Arial" w:hAnsi="Arial"/>
          <w:color w:val="191919"/>
          <w:sz w:val="18"/>
        </w:rPr>
      </w:pPr>
      <w:r>
        <w:rPr>
          <w:rFonts w:ascii="Arial" w:hAnsi="Arial"/>
          <w:color w:val="191919"/>
          <w:sz w:val="18"/>
        </w:rPr>
        <w:t xml:space="preserve">The Compensation Committee reviews and establishes NEO base salaries consistent with the process described above under “The Compensation Decision Making Process.” For each NEO, the Compensation Committee considers our NEOs scope of responsibilities, experience, and individual performance and then balances these factors against competitive salary practices, including internal pay equity. The Compensation Committee does not assign any relative or specific weights to these factors. The base salaries established for fiscal 2026 are presented in the following table. </w:t>
      </w:r>
    </w:p>
    <w:p>
      <w:pPr>
        <w:pStyle w:val="TextBody"/>
        <w:bidi w:val="0"/>
        <w:spacing w:before="0" w:after="0"/>
        <w:jc w:val="left"/>
        <w:rPr/>
      </w:pPr>
      <w:r>
        <w:rPr/>
        <w:t> </w:t>
      </w:r>
    </w:p>
    <w:tbl>
      <w:tblPr>
        <w:tblW w:w="5340" w:type="dxa"/>
        <w:jc w:val="left"/>
        <w:tblInd w:w="0" w:type="dxa"/>
        <w:tblLayout w:type="fixed"/>
        <w:tblCellMar>
          <w:top w:w="0" w:type="dxa"/>
          <w:left w:w="0" w:type="dxa"/>
          <w:bottom w:w="0" w:type="dxa"/>
          <w:right w:w="0" w:type="dxa"/>
        </w:tblCellMar>
      </w:tblPr>
      <w:tblGrid>
        <w:gridCol w:w="1985"/>
        <w:gridCol w:w="120"/>
        <w:gridCol w:w="1550"/>
        <w:gridCol w:w="120"/>
        <w:gridCol w:w="156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Named Executive Officer</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50"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Fiscal 2026</w:t>
              <w:br/>
              <w:t>Annual Base Salary</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65" w:type="dxa"/>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Fiscal 2025</w:t>
              <w:br/>
              <w:t>Annual Base Salary</w:t>
            </w:r>
          </w:p>
          <w:p>
            <w:pPr>
              <w:pStyle w:val="TableContents"/>
              <w:bidi w:val="0"/>
              <w:spacing w:before="0" w:after="20"/>
              <w:jc w:val="center"/>
              <w:rPr>
                <w:rFonts w:ascii="Arial" w:hAnsi="Arial"/>
                <w:b/>
                <w:color w:val="191919"/>
                <w:sz w:val="16"/>
              </w:rPr>
            </w:pPr>
            <w:r>
              <w:rPr>
                <w:rFonts w:ascii="Arial" w:hAnsi="Arial"/>
                <w:b/>
                <w:color w:val="191919"/>
                <w:sz w:val="16"/>
              </w:rPr>
              <w:t>($)</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Joseph B. Armes</w:t>
            </w:r>
          </w:p>
        </w:tc>
        <w:tc>
          <w:tcPr>
            <w:tcW w:w="1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60" w:before="0" w:after="0"/>
              <w:jc w:val="center"/>
              <w:rPr>
                <w:rFonts w:ascii="Arial" w:hAnsi="Arial"/>
                <w:b/>
                <w:color w:val="191919"/>
                <w:sz w:val="16"/>
              </w:rPr>
            </w:pPr>
            <w:r>
              <w:rPr>
                <w:rFonts w:ascii="Arial" w:hAnsi="Arial"/>
                <w:b/>
                <w:color w:val="191919"/>
                <w:sz w:val="16"/>
              </w:rPr>
              <w:t>925,000</w:t>
            </w:r>
          </w:p>
        </w:tc>
        <w:tc>
          <w:tcPr>
            <w:tcW w:w="12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tLeast" w:line="260" w:before="0" w:after="0"/>
              <w:jc w:val="center"/>
              <w:rPr>
                <w:rFonts w:ascii="Arial" w:hAnsi="Arial"/>
                <w:color w:val="191919"/>
                <w:sz w:val="16"/>
              </w:rPr>
            </w:pPr>
            <w:r>
              <w:rPr>
                <w:rFonts w:ascii="Arial" w:hAnsi="Arial"/>
                <w:color w:val="191919"/>
                <w:sz w:val="16"/>
              </w:rPr>
              <w:t>850,000</w:t>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1670" w:type="dxa"/>
            <w:gridSpan w:val="2"/>
            <w:tcBorders/>
            <w:shd w:fill="EDEDED" w:val="clear"/>
            <w:vAlign w:val="center"/>
          </w:tcPr>
          <w:p>
            <w:pPr>
              <w:pStyle w:val="TableContents"/>
              <w:bidi w:val="0"/>
              <w:spacing w:before="0" w:after="283"/>
              <w:jc w:val="left"/>
              <w:rPr>
                <w:sz w:val="4"/>
                <w:szCs w:val="4"/>
              </w:rPr>
            </w:pPr>
            <w:r>
              <w:rPr>
                <w:sz w:val="4"/>
                <w:szCs w:val="4"/>
              </w:rPr>
            </w:r>
          </w:p>
        </w:tc>
        <w:tc>
          <w:tcPr>
            <w:tcW w:w="168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James E. Perry</w:t>
            </w:r>
          </w:p>
        </w:tc>
        <w:tc>
          <w:tcPr>
            <w:tcW w:w="120" w:type="dxa"/>
            <w:tcBorders/>
            <w:shd w:fill="EDEDED" w:val="clear"/>
            <w:vAlign w:val="center"/>
          </w:tcPr>
          <w:p>
            <w:pPr>
              <w:pStyle w:val="TableContents"/>
              <w:bidi w:val="0"/>
              <w:spacing w:before="0" w:after="283"/>
              <w:jc w:val="left"/>
              <w:rPr/>
            </w:pPr>
            <w:r>
              <w:rPr/>
              <w:t>  </w:t>
            </w:r>
          </w:p>
        </w:tc>
        <w:tc>
          <w:tcPr>
            <w:tcW w:w="1550" w:type="dxa"/>
            <w:tcBorders/>
            <w:shd w:fill="EDEDED" w:val="clear"/>
            <w:vAlign w:val="center"/>
          </w:tcPr>
          <w:p>
            <w:pPr>
              <w:pStyle w:val="TableContents"/>
              <w:bidi w:val="0"/>
              <w:spacing w:lineRule="atLeast" w:line="260" w:before="0" w:after="0"/>
              <w:jc w:val="center"/>
              <w:rPr>
                <w:rFonts w:ascii="Arial" w:hAnsi="Arial"/>
                <w:b/>
                <w:color w:val="191919"/>
                <w:sz w:val="16"/>
              </w:rPr>
            </w:pPr>
            <w:r>
              <w:rPr>
                <w:rFonts w:ascii="Arial" w:hAnsi="Arial"/>
                <w:b/>
                <w:color w:val="191919"/>
                <w:sz w:val="16"/>
              </w:rPr>
              <w:t>520,000</w:t>
            </w:r>
          </w:p>
        </w:tc>
        <w:tc>
          <w:tcPr>
            <w:tcW w:w="120" w:type="dxa"/>
            <w:tcBorders/>
            <w:shd w:fill="EDEDED" w:val="clear"/>
            <w:vAlign w:val="center"/>
          </w:tcPr>
          <w:p>
            <w:pPr>
              <w:pStyle w:val="TableContents"/>
              <w:bidi w:val="0"/>
              <w:spacing w:before="0" w:after="283"/>
              <w:jc w:val="left"/>
              <w:rPr/>
            </w:pPr>
            <w:r>
              <w:rPr/>
              <w:t>  </w:t>
            </w:r>
          </w:p>
        </w:tc>
        <w:tc>
          <w:tcPr>
            <w:tcW w:w="1565" w:type="dxa"/>
            <w:tcBorders/>
            <w:shd w:fill="EDEDED" w:val="clear"/>
            <w:vAlign w:val="center"/>
          </w:tcPr>
          <w:p>
            <w:pPr>
              <w:pStyle w:val="TableContents"/>
              <w:bidi w:val="0"/>
              <w:spacing w:lineRule="atLeast" w:line="260" w:before="0" w:after="0"/>
              <w:jc w:val="center"/>
              <w:rPr>
                <w:rFonts w:ascii="Arial" w:hAnsi="Arial"/>
                <w:color w:val="191919"/>
                <w:sz w:val="16"/>
              </w:rPr>
            </w:pPr>
            <w:r>
              <w:rPr>
                <w:rFonts w:ascii="Arial" w:hAnsi="Arial"/>
                <w:color w:val="191919"/>
                <w:sz w:val="16"/>
              </w:rPr>
              <w:t>495,000</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Jeff A. Underwood</w:t>
            </w:r>
          </w:p>
        </w:tc>
        <w:tc>
          <w:tcPr>
            <w:tcW w:w="1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lineRule="atLeast" w:line="260" w:before="0" w:after="0"/>
              <w:jc w:val="center"/>
              <w:rPr>
                <w:rFonts w:ascii="Arial" w:hAnsi="Arial"/>
                <w:b/>
                <w:color w:val="191919"/>
                <w:sz w:val="16"/>
              </w:rPr>
            </w:pPr>
            <w:r>
              <w:rPr>
                <w:rFonts w:ascii="Arial" w:hAnsi="Arial"/>
                <w:b/>
                <w:color w:val="191919"/>
                <w:sz w:val="16"/>
              </w:rPr>
              <w:t>440,000</w:t>
            </w:r>
          </w:p>
        </w:tc>
        <w:tc>
          <w:tcPr>
            <w:tcW w:w="12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lineRule="atLeast" w:line="260" w:before="0" w:after="0"/>
              <w:jc w:val="center"/>
              <w:rPr>
                <w:rFonts w:ascii="Arial" w:hAnsi="Arial"/>
                <w:color w:val="191919"/>
                <w:sz w:val="16"/>
              </w:rPr>
            </w:pPr>
            <w:r>
              <w:rPr>
                <w:rFonts w:ascii="Arial" w:hAnsi="Arial"/>
                <w:color w:val="191919"/>
                <w:sz w:val="16"/>
              </w:rPr>
              <w:t>385,000</w:t>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1670" w:type="dxa"/>
            <w:gridSpan w:val="2"/>
            <w:tcBorders/>
            <w:shd w:fill="EDEDED" w:val="clear"/>
            <w:vAlign w:val="center"/>
          </w:tcPr>
          <w:p>
            <w:pPr>
              <w:pStyle w:val="TableContents"/>
              <w:bidi w:val="0"/>
              <w:spacing w:before="0" w:after="283"/>
              <w:jc w:val="left"/>
              <w:rPr>
                <w:sz w:val="4"/>
                <w:szCs w:val="4"/>
              </w:rPr>
            </w:pPr>
            <w:r>
              <w:rPr>
                <w:sz w:val="4"/>
                <w:szCs w:val="4"/>
              </w:rPr>
            </w:r>
          </w:p>
        </w:tc>
        <w:tc>
          <w:tcPr>
            <w:tcW w:w="168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Luke E. Alverson</w:t>
            </w:r>
          </w:p>
        </w:tc>
        <w:tc>
          <w:tcPr>
            <w:tcW w:w="120" w:type="dxa"/>
            <w:tcBorders/>
            <w:shd w:fill="EDEDED" w:val="clear"/>
            <w:vAlign w:val="center"/>
          </w:tcPr>
          <w:p>
            <w:pPr>
              <w:pStyle w:val="TableContents"/>
              <w:bidi w:val="0"/>
              <w:spacing w:before="0" w:after="283"/>
              <w:jc w:val="left"/>
              <w:rPr/>
            </w:pPr>
            <w:r>
              <w:rPr/>
              <w:t>  </w:t>
            </w:r>
          </w:p>
        </w:tc>
        <w:tc>
          <w:tcPr>
            <w:tcW w:w="1550" w:type="dxa"/>
            <w:tcBorders/>
            <w:shd w:fill="EDEDED" w:val="clear"/>
            <w:vAlign w:val="center"/>
          </w:tcPr>
          <w:p>
            <w:pPr>
              <w:pStyle w:val="TableContents"/>
              <w:bidi w:val="0"/>
              <w:spacing w:lineRule="atLeast" w:line="260" w:before="0" w:after="0"/>
              <w:jc w:val="center"/>
              <w:rPr>
                <w:rFonts w:ascii="Arial" w:hAnsi="Arial"/>
                <w:b/>
                <w:color w:val="191919"/>
                <w:sz w:val="16"/>
              </w:rPr>
            </w:pPr>
            <w:r>
              <w:rPr>
                <w:rFonts w:ascii="Arial" w:hAnsi="Arial"/>
                <w:b/>
                <w:color w:val="191919"/>
                <w:sz w:val="16"/>
              </w:rPr>
              <w:t>440,000</w:t>
            </w:r>
          </w:p>
        </w:tc>
        <w:tc>
          <w:tcPr>
            <w:tcW w:w="120" w:type="dxa"/>
            <w:tcBorders/>
            <w:shd w:fill="EDEDED" w:val="clear"/>
            <w:vAlign w:val="center"/>
          </w:tcPr>
          <w:p>
            <w:pPr>
              <w:pStyle w:val="TableContents"/>
              <w:bidi w:val="0"/>
              <w:spacing w:before="0" w:after="283"/>
              <w:jc w:val="left"/>
              <w:rPr/>
            </w:pPr>
            <w:r>
              <w:rPr/>
              <w:t>  </w:t>
            </w:r>
          </w:p>
        </w:tc>
        <w:tc>
          <w:tcPr>
            <w:tcW w:w="1565" w:type="dxa"/>
            <w:tcBorders/>
            <w:shd w:fill="EDEDED" w:val="clear"/>
            <w:vAlign w:val="center"/>
          </w:tcPr>
          <w:p>
            <w:pPr>
              <w:pStyle w:val="TableContents"/>
              <w:bidi w:val="0"/>
              <w:spacing w:lineRule="atLeast" w:line="260" w:before="0" w:after="0"/>
              <w:jc w:val="center"/>
              <w:rPr>
                <w:rFonts w:ascii="Arial" w:hAnsi="Arial"/>
                <w:color w:val="191919"/>
                <w:sz w:val="16"/>
              </w:rPr>
            </w:pPr>
            <w:r>
              <w:rPr>
                <w:rFonts w:ascii="Arial" w:hAnsi="Arial"/>
                <w:color w:val="191919"/>
                <w:sz w:val="16"/>
              </w:rPr>
              <w:t>423,000</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67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7DB655"/>
            </w:tcBorders>
            <w:tcMar>
              <w:bottom w:w="40" w:type="dxa"/>
            </w:tcMar>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Danielle R. Garde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550" w:type="dxa"/>
            <w:tcBorders>
              <w:bottom w:val="single" w:sz="6" w:space="0" w:color="7DB655"/>
            </w:tcBorders>
            <w:tcMar>
              <w:bottom w:w="40" w:type="dxa"/>
            </w:tcMar>
            <w:vAlign w:val="center"/>
          </w:tcPr>
          <w:p>
            <w:pPr>
              <w:pStyle w:val="TableContents"/>
              <w:bidi w:val="0"/>
              <w:spacing w:lineRule="atLeast" w:line="260" w:before="0" w:after="0"/>
              <w:jc w:val="center"/>
              <w:rPr>
                <w:rFonts w:ascii="Arial" w:hAnsi="Arial"/>
                <w:b/>
                <w:color w:val="191919"/>
                <w:sz w:val="16"/>
              </w:rPr>
            </w:pPr>
            <w:r>
              <w:rPr>
                <w:rFonts w:ascii="Arial" w:hAnsi="Arial"/>
                <w:b/>
                <w:color w:val="191919"/>
                <w:sz w:val="16"/>
              </w:rPr>
              <w:t>440,000</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565" w:type="dxa"/>
            <w:tcBorders>
              <w:bottom w:val="single" w:sz="6" w:space="0" w:color="7DB655"/>
            </w:tcBorders>
            <w:tcMar>
              <w:bottom w:w="40" w:type="dxa"/>
            </w:tcMar>
            <w:vAlign w:val="center"/>
          </w:tcPr>
          <w:p>
            <w:pPr>
              <w:pStyle w:val="TableContents"/>
              <w:bidi w:val="0"/>
              <w:spacing w:lineRule="atLeast" w:line="260" w:before="0" w:after="0"/>
              <w:jc w:val="center"/>
              <w:rPr>
                <w:rFonts w:ascii="Arial" w:hAnsi="Arial"/>
                <w:color w:val="191919"/>
                <w:sz w:val="16"/>
              </w:rPr>
            </w:pPr>
            <w:r>
              <w:rPr>
                <w:rFonts w:ascii="Arial" w:hAnsi="Arial"/>
                <w:color w:val="191919"/>
                <w:sz w:val="16"/>
              </w:rPr>
              <w:t>423,000</w:t>
            </w:r>
          </w:p>
        </w:tc>
      </w:tr>
    </w:tbl>
    <w:p>
      <w:pPr>
        <w:pStyle w:val="TextBody"/>
        <w:bidi w:val="0"/>
        <w:spacing w:before="240" w:after="0"/>
        <w:jc w:val="left"/>
        <w:rPr>
          <w:rFonts w:ascii="Arial" w:hAnsi="Arial"/>
          <w:color w:val="191919"/>
          <w:sz w:val="18"/>
        </w:rPr>
      </w:pPr>
      <w:r>
        <w:rPr>
          <w:rFonts w:ascii="Arial" w:hAnsi="Arial"/>
          <w:color w:val="191919"/>
          <w:sz w:val="18"/>
        </w:rPr>
        <w:t xml:space="preserve">The Compensation Committee’s fiscal 2026 compensation evaluation adjusted NEO base salaries as it determined appropriate, making adjustments based on market proximity and the executive team’s strong performance, consistent with our compensation objectives. </w:t>
      </w:r>
    </w:p>
    <w:p>
      <w:pPr>
        <w:pStyle w:val="TextBody"/>
        <w:bidi w:val="0"/>
        <w:spacing w:before="240" w:after="0"/>
        <w:jc w:val="left"/>
        <w:rPr>
          <w:rFonts w:ascii="Arial" w:hAnsi="Arial"/>
          <w:color w:val="191919"/>
          <w:sz w:val="18"/>
        </w:rPr>
      </w:pPr>
      <w:r>
        <w:rPr>
          <w:rFonts w:ascii="Arial" w:hAnsi="Arial"/>
          <w:color w:val="191919"/>
          <w:sz w:val="18"/>
        </w:rPr>
        <w:t xml:space="preserve">Mr. Armes’ base salary and other compensation components in fiscal 2026 are discussed below in further detail under “Chief Executive Officer Compensation in Fiscal 2026.”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12"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93" descr=""/>
                          <pic:cNvPicPr>
                            <a:picLocks noChangeAspect="1" noChangeArrowheads="1"/>
                          </pic:cNvPicPr>
                        </pic:nvPicPr>
                        <pic:blipFill>
                          <a:blip r:embed="rId295"/>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2990"/>
        <w:gridCol w:w="60"/>
        <w:gridCol w:w="2173"/>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bookmarkStart w:id="33" w:name="txa136145_8a"/>
            <w:bookmarkStart w:id="34" w:name="txa136145_8a"/>
            <w:bookmarkEnd w:id="34"/>
          </w:p>
        </w:tc>
      </w:tr>
      <w:tr>
        <w:trPr/>
        <w:tc>
          <w:tcPr>
            <w:tcW w:w="2990" w:type="dxa"/>
            <w:tcBorders/>
            <w:vAlign w:val="center"/>
          </w:tcPr>
          <w:p>
            <w:pPr>
              <w:pStyle w:val="TableContents"/>
              <w:bidi w:val="0"/>
              <w:spacing w:before="0" w:after="283"/>
              <w:jc w:val="left"/>
              <w:rPr>
                <w:b/>
                <w:color w:val="0A7DAC"/>
                <w:sz w:val="25"/>
              </w:rPr>
            </w:pPr>
            <w:r>
              <w:rPr>
                <w:b/>
                <w:color w:val="0A7DAC"/>
                <w:sz w:val="25"/>
              </w:rPr>
              <w:t>Annual Incentive Program</w:t>
            </w:r>
          </w:p>
        </w:tc>
        <w:tc>
          <w:tcPr>
            <w:tcW w:w="60" w:type="dxa"/>
            <w:tcBorders/>
            <w:vAlign w:val="center"/>
          </w:tcPr>
          <w:p>
            <w:pPr>
              <w:pStyle w:val="TableContents"/>
              <w:bidi w:val="0"/>
              <w:spacing w:before="0" w:after="283"/>
              <w:jc w:val="left"/>
              <w:rPr/>
            </w:pPr>
            <w:r>
              <w:rPr/>
              <w:t> </w:t>
            </w:r>
          </w:p>
        </w:tc>
        <w:tc>
          <w:tcPr>
            <w:tcW w:w="2173" w:type="dxa"/>
            <w:tcBorders/>
            <w:vAlign w:val="center"/>
          </w:tcPr>
          <w:p>
            <w:pPr>
              <w:pStyle w:val="TableContents"/>
              <w:bidi w:val="0"/>
              <w:spacing w:before="0" w:after="0"/>
              <w:jc w:val="left"/>
              <w:rPr/>
            </w:pPr>
            <w:r>
              <w:rPr/>
              <w:drawing>
                <wp:inline distT="0" distB="0" distL="0" distR="0">
                  <wp:extent cx="369570" cy="275590"/>
                  <wp:effectExtent l="0" t="0" r="0" b="0"/>
                  <wp:docPr id="313"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4" descr=""/>
                          <pic:cNvPicPr>
                            <a:picLocks noChangeAspect="1" noChangeArrowheads="1"/>
                          </pic:cNvPicPr>
                        </pic:nvPicPr>
                        <pic:blipFill>
                          <a:blip r:embed="rId296"/>
                          <a:stretch>
                            <a:fillRect/>
                          </a:stretch>
                        </pic:blipFill>
                        <pic:spPr bwMode="auto">
                          <a:xfrm>
                            <a:off x="0" y="0"/>
                            <a:ext cx="369570" cy="275590"/>
                          </a:xfrm>
                          <a:prstGeom prst="rect">
                            <a:avLst/>
                          </a:prstGeom>
                        </pic:spPr>
                      </pic:pic>
                    </a:graphicData>
                  </a:graphic>
                </wp:inline>
              </w:drawing>
            </w:r>
            <w:r>
              <w:rPr/>
              <w:t xml:space="preserve">   </w:t>
            </w:r>
            <w:r>
              <w:rPr/>
              <w:drawing>
                <wp:inline distT="0" distB="0" distL="0" distR="0">
                  <wp:extent cx="443865" cy="275590"/>
                  <wp:effectExtent l="0" t="0" r="0" b="0"/>
                  <wp:docPr id="314"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5" descr=""/>
                          <pic:cNvPicPr>
                            <a:picLocks noChangeAspect="1" noChangeArrowheads="1"/>
                          </pic:cNvPicPr>
                        </pic:nvPicPr>
                        <pic:blipFill>
                          <a:blip r:embed="rId297"/>
                          <a:stretch>
                            <a:fillRect/>
                          </a:stretch>
                        </pic:blipFill>
                        <pic:spPr bwMode="auto">
                          <a:xfrm>
                            <a:off x="0" y="0"/>
                            <a:ext cx="443865" cy="275590"/>
                          </a:xfrm>
                          <a:prstGeom prst="rect">
                            <a:avLst/>
                          </a:prstGeom>
                        </pic:spPr>
                      </pic:pic>
                    </a:graphicData>
                  </a:graphic>
                </wp:inline>
              </w:drawing>
            </w:r>
            <w:r>
              <w:rPr/>
              <w:t xml:space="preserve">   </w:t>
            </w:r>
            <w:r>
              <w:rPr/>
              <w:drawing>
                <wp:inline distT="0" distB="0" distL="0" distR="0">
                  <wp:extent cx="296545" cy="275590"/>
                  <wp:effectExtent l="0" t="0" r="0" b="0"/>
                  <wp:docPr id="315"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6" descr=""/>
                          <pic:cNvPicPr>
                            <a:picLocks noChangeAspect="1" noChangeArrowheads="1"/>
                          </pic:cNvPicPr>
                        </pic:nvPicPr>
                        <pic:blipFill>
                          <a:blip r:embed="rId298"/>
                          <a:stretch>
                            <a:fillRect/>
                          </a:stretch>
                        </pic:blipFill>
                        <pic:spPr bwMode="auto">
                          <a:xfrm>
                            <a:off x="0" y="0"/>
                            <a:ext cx="296545" cy="27559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left"/>
        <w:rPr>
          <w:rFonts w:ascii="Arial" w:hAnsi="Arial"/>
          <w:color w:val="191919"/>
          <w:sz w:val="18"/>
        </w:rPr>
      </w:pPr>
      <w:r>
        <w:rPr>
          <w:rFonts w:ascii="Arial" w:hAnsi="Arial"/>
          <w:color w:val="191919"/>
          <w:sz w:val="18"/>
        </w:rPr>
        <w:t xml:space="preserve">Our AIP exists to provide employees with a short-term, performance-based cash incentive that promotes the achievement of our annual operating budget and the financial metrics that we believe most strongly correlate to long-term shareholder value creation. This incentive most directly supports our “Align Long-Term Executive and Shareholder Interests” and “Reward Current Performance” compensation objectives. </w:t>
      </w:r>
    </w:p>
    <w:p>
      <w:pPr>
        <w:pStyle w:val="TextBody"/>
        <w:bidi w:val="0"/>
        <w:spacing w:before="360" w:after="0"/>
        <w:jc w:val="left"/>
        <w:rPr>
          <w:rFonts w:ascii="Arial" w:hAnsi="Arial"/>
          <w:b/>
          <w:color w:val="191919"/>
          <w:sz w:val="21"/>
        </w:rPr>
      </w:pPr>
      <w:r>
        <w:rPr>
          <w:rFonts w:ascii="Arial" w:hAnsi="Arial"/>
          <w:b/>
          <w:color w:val="191919"/>
          <w:sz w:val="21"/>
        </w:rPr>
        <w:t xml:space="preserve">AIP Target Opportunities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establishes an AIP target opportunity for each NEO consistent with the process described above under “The Compensation Decision Making Process.” The Compensation Committee also approves the AIP’s financial performance metrics at that same time. </w:t>
      </w:r>
    </w:p>
    <w:p>
      <w:pPr>
        <w:pStyle w:val="TextBody"/>
        <w:bidi w:val="0"/>
        <w:spacing w:before="240" w:after="0"/>
        <w:jc w:val="left"/>
        <w:rPr>
          <w:rFonts w:ascii="Arial" w:hAnsi="Arial"/>
          <w:color w:val="191919"/>
          <w:sz w:val="18"/>
        </w:rPr>
      </w:pPr>
      <w:r>
        <w:rPr>
          <w:rFonts w:ascii="Arial" w:hAnsi="Arial"/>
          <w:color w:val="191919"/>
          <w:sz w:val="18"/>
        </w:rPr>
        <w:t xml:space="preserve">Our NEO’s AIP target opportunities are expressed as a percentage of base salary. AIP target opportunities established for fiscal 2026 are presented in the following table. </w:t>
      </w:r>
    </w:p>
    <w:p>
      <w:pPr>
        <w:pStyle w:val="TextBody"/>
        <w:bidi w:val="0"/>
        <w:spacing w:before="0" w:after="0"/>
        <w:jc w:val="left"/>
        <w:rPr/>
      </w:pPr>
      <w:r>
        <w:rPr/>
        <w:t> </w:t>
      </w:r>
    </w:p>
    <w:tbl>
      <w:tblPr>
        <w:tblW w:w="7895" w:type="dxa"/>
        <w:jc w:val="left"/>
        <w:tblInd w:w="0" w:type="dxa"/>
        <w:tblLayout w:type="fixed"/>
        <w:tblCellMar>
          <w:top w:w="0" w:type="dxa"/>
          <w:left w:w="0" w:type="dxa"/>
          <w:bottom w:w="0" w:type="dxa"/>
          <w:right w:w="0" w:type="dxa"/>
        </w:tblCellMar>
      </w:tblPr>
      <w:tblGrid>
        <w:gridCol w:w="1985"/>
        <w:gridCol w:w="240"/>
        <w:gridCol w:w="110"/>
        <w:gridCol w:w="110"/>
        <w:gridCol w:w="1361"/>
        <w:gridCol w:w="44"/>
        <w:gridCol w:w="240"/>
        <w:gridCol w:w="168"/>
        <w:gridCol w:w="168"/>
        <w:gridCol w:w="812"/>
        <w:gridCol w:w="477"/>
        <w:gridCol w:w="240"/>
        <w:gridCol w:w="168"/>
        <w:gridCol w:w="168"/>
        <w:gridCol w:w="812"/>
        <w:gridCol w:w="477"/>
        <w:gridCol w:w="60"/>
        <w:gridCol w:w="60"/>
        <w:gridCol w:w="60"/>
        <w:gridCol w:w="60"/>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Named Executive Officer</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62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Fiscal 2026 AIP</w:t>
              <w:br/>
              <w:t>Target ($)</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62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Fiscal 2026 AIP</w:t>
              <w:br/>
              <w:t>Target % of</w:t>
              <w:br/>
              <w:t>Base Salary</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62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Fiscal 2025 AIP</w:t>
              <w:br/>
              <w:t>Target % of</w:t>
              <w:br/>
              <w:t>Base Salary</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255" w:type="dxa"/>
            <w:gridSpan w:val="4"/>
            <w:tcBorders>
              <w:bottom w:val="single" w:sz="5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Joseph B. Armes</w:t>
            </w:r>
          </w:p>
        </w:tc>
        <w:tc>
          <w:tcPr>
            <w:tcW w:w="24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191919"/>
              </w:rPr>
            </w:pPr>
            <w:r>
              <w:rPr>
                <w:color w:val="191919"/>
              </w:rPr>
              <w:t> </w:t>
            </w:r>
          </w:p>
        </w:tc>
        <w:tc>
          <w:tcPr>
            <w:tcW w:w="1361" w:type="dxa"/>
            <w:tcBorders/>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1,202,500</w:t>
            </w:r>
          </w:p>
        </w:tc>
        <w:tc>
          <w:tcPr>
            <w:tcW w:w="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260" w:before="0" w:after="0"/>
              <w:jc w:val="left"/>
              <w:rPr>
                <w:color w:val="191919"/>
              </w:rPr>
            </w:pPr>
            <w:r>
              <w:rPr>
                <w:color w:val="191919"/>
              </w:rPr>
              <w:t> </w:t>
            </w:r>
          </w:p>
        </w:tc>
        <w:tc>
          <w:tcPr>
            <w:tcW w:w="812" w:type="dxa"/>
            <w:tcBorders/>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130</w:t>
            </w:r>
          </w:p>
        </w:tc>
        <w:tc>
          <w:tcPr>
            <w:tcW w:w="477" w:type="dxa"/>
            <w:tcBorders/>
            <w:vAlign w:val="center"/>
          </w:tcPr>
          <w:p>
            <w:pPr>
              <w:pStyle w:val="TableContents"/>
              <w:bidi w:val="0"/>
              <w:spacing w:lineRule="atLeast" w:line="260" w:before="0" w:after="0"/>
              <w:jc w:val="left"/>
              <w:rPr>
                <w:rFonts w:ascii="Arial" w:hAnsi="Arial"/>
                <w:b/>
                <w:color w:val="191919"/>
                <w:sz w:val="16"/>
              </w:rPr>
            </w:pPr>
            <w:r>
              <w:rPr>
                <w:rFonts w:ascii="Arial" w:hAnsi="Arial"/>
                <w:b/>
                <w:color w:val="191919"/>
                <w:sz w:val="16"/>
              </w:rPr>
              <w:t>%</w:t>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260" w:before="0" w:after="0"/>
              <w:jc w:val="left"/>
              <w:rPr>
                <w:color w:val="191919"/>
              </w:rPr>
            </w:pPr>
            <w:r>
              <w:rPr>
                <w:color w:val="191919"/>
              </w:rPr>
              <w:t> </w:t>
            </w:r>
          </w:p>
        </w:tc>
        <w:tc>
          <w:tcPr>
            <w:tcW w:w="812" w:type="dxa"/>
            <w:tcBorders/>
            <w:vAlign w:val="center"/>
          </w:tcPr>
          <w:p>
            <w:pPr>
              <w:pStyle w:val="TableContents"/>
              <w:bidi w:val="0"/>
              <w:spacing w:lineRule="atLeast" w:line="260" w:before="0" w:after="0"/>
              <w:jc w:val="right"/>
              <w:rPr>
                <w:rFonts w:ascii="Arial" w:hAnsi="Arial"/>
                <w:color w:val="191919"/>
                <w:sz w:val="16"/>
              </w:rPr>
            </w:pPr>
            <w:r>
              <w:rPr>
                <w:rFonts w:ascii="Arial" w:hAnsi="Arial"/>
                <w:color w:val="191919"/>
                <w:sz w:val="16"/>
              </w:rPr>
              <w:t>130</w:t>
            </w:r>
          </w:p>
        </w:tc>
        <w:tc>
          <w:tcPr>
            <w:tcW w:w="477" w:type="dxa"/>
            <w:tcBorders/>
            <w:vAlign w:val="center"/>
          </w:tcPr>
          <w:p>
            <w:pPr>
              <w:pStyle w:val="TableContents"/>
              <w:bidi w:val="0"/>
              <w:spacing w:lineRule="atLeast" w:line="260" w:before="0" w:after="0"/>
              <w:jc w:val="left"/>
              <w:rPr>
                <w:rFonts w:ascii="Arial" w:hAnsi="Arial"/>
                <w:color w:val="191919"/>
                <w:sz w:val="16"/>
              </w:rPr>
            </w:pPr>
            <w:r>
              <w:rPr>
                <w:rFonts w:ascii="Arial" w:hAnsi="Arial"/>
                <w:color w:val="191919"/>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1865" w:type="dxa"/>
            <w:gridSpan w:val="5"/>
            <w:tcBorders/>
            <w:shd w:fill="EDEDED" w:val="clear"/>
            <w:vAlign w:val="center"/>
          </w:tcPr>
          <w:p>
            <w:pPr>
              <w:pStyle w:val="TableContents"/>
              <w:bidi w:val="0"/>
              <w:spacing w:before="0" w:after="283"/>
              <w:jc w:val="left"/>
              <w:rPr>
                <w:sz w:val="4"/>
                <w:szCs w:val="4"/>
              </w:rPr>
            </w:pPr>
            <w:r>
              <w:rPr>
                <w:sz w:val="4"/>
                <w:szCs w:val="4"/>
              </w:rPr>
            </w:r>
          </w:p>
        </w:tc>
        <w:tc>
          <w:tcPr>
            <w:tcW w:w="1865" w:type="dxa"/>
            <w:gridSpan w:val="5"/>
            <w:tcBorders/>
            <w:shd w:fill="EDEDED" w:val="clear"/>
            <w:vAlign w:val="center"/>
          </w:tcPr>
          <w:p>
            <w:pPr>
              <w:pStyle w:val="TableContents"/>
              <w:bidi w:val="0"/>
              <w:spacing w:before="0" w:after="283"/>
              <w:jc w:val="left"/>
              <w:rPr>
                <w:sz w:val="4"/>
                <w:szCs w:val="4"/>
              </w:rPr>
            </w:pPr>
            <w:r>
              <w:rPr>
                <w:sz w:val="4"/>
                <w:szCs w:val="4"/>
              </w:rPr>
            </w:r>
          </w:p>
        </w:tc>
        <w:tc>
          <w:tcPr>
            <w:tcW w:w="1865" w:type="dxa"/>
            <w:gridSpan w:val="5"/>
            <w:tcBorders/>
            <w:shd w:fill="EDEDED" w:val="clear"/>
            <w:vAlign w:val="center"/>
          </w:tcPr>
          <w:p>
            <w:pPr>
              <w:pStyle w:val="TableContents"/>
              <w:bidi w:val="0"/>
              <w:spacing w:before="0" w:after="283"/>
              <w:jc w:val="left"/>
              <w:rPr>
                <w:sz w:val="4"/>
                <w:szCs w:val="4"/>
              </w:rPr>
            </w:pPr>
            <w:r>
              <w:rPr>
                <w:sz w:val="4"/>
                <w:szCs w:val="4"/>
              </w:rPr>
            </w:r>
          </w:p>
        </w:tc>
        <w:tc>
          <w:tcPr>
            <w:tcW w:w="315"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James E. Perry</w:t>
            </w:r>
          </w:p>
        </w:tc>
        <w:tc>
          <w:tcPr>
            <w:tcW w:w="24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lineRule="atLeast" w:line="260" w:before="0" w:after="0"/>
              <w:jc w:val="left"/>
              <w:rPr>
                <w:color w:val="191919"/>
              </w:rPr>
            </w:pPr>
            <w:r>
              <w:rPr>
                <w:color w:val="191919"/>
              </w:rPr>
              <w:t> </w:t>
            </w:r>
          </w:p>
        </w:tc>
        <w:tc>
          <w:tcPr>
            <w:tcW w:w="1361" w:type="dxa"/>
            <w:tcBorders/>
            <w:shd w:fill="EDEDED" w:val="clear"/>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390,000</w:t>
            </w:r>
          </w:p>
        </w:tc>
        <w:tc>
          <w:tcPr>
            <w:tcW w:w="44"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lineRule="atLeast" w:line="260" w:before="0" w:after="0"/>
              <w:jc w:val="left"/>
              <w:rPr>
                <w:color w:val="191919"/>
              </w:rPr>
            </w:pPr>
            <w:r>
              <w:rPr>
                <w:color w:val="191919"/>
              </w:rPr>
              <w:t> </w:t>
            </w:r>
          </w:p>
        </w:tc>
        <w:tc>
          <w:tcPr>
            <w:tcW w:w="812" w:type="dxa"/>
            <w:tcBorders/>
            <w:shd w:fill="EDEDED" w:val="clear"/>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75</w:t>
            </w:r>
          </w:p>
        </w:tc>
        <w:tc>
          <w:tcPr>
            <w:tcW w:w="477" w:type="dxa"/>
            <w:tcBorders/>
            <w:shd w:fill="EDEDED" w:val="clear"/>
            <w:vAlign w:val="center"/>
          </w:tcPr>
          <w:p>
            <w:pPr>
              <w:pStyle w:val="TableContents"/>
              <w:bidi w:val="0"/>
              <w:spacing w:lineRule="atLeast" w:line="260" w:before="0" w:after="0"/>
              <w:jc w:val="left"/>
              <w:rPr>
                <w:rFonts w:ascii="Arial" w:hAnsi="Arial"/>
                <w:b/>
                <w:color w:val="191919"/>
                <w:sz w:val="16"/>
              </w:rPr>
            </w:pPr>
            <w:r>
              <w:rPr>
                <w:rFonts w:ascii="Arial" w:hAnsi="Arial"/>
                <w:b/>
                <w:color w:val="191919"/>
                <w:sz w:val="16"/>
              </w:rPr>
              <w:t>%</w:t>
            </w:r>
          </w:p>
        </w:tc>
        <w:tc>
          <w:tcPr>
            <w:tcW w:w="240"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lineRule="atLeast" w:line="260" w:before="0" w:after="0"/>
              <w:jc w:val="left"/>
              <w:rPr>
                <w:color w:val="191919"/>
              </w:rPr>
            </w:pPr>
            <w:r>
              <w:rPr>
                <w:color w:val="191919"/>
              </w:rPr>
              <w:t> </w:t>
            </w:r>
          </w:p>
        </w:tc>
        <w:tc>
          <w:tcPr>
            <w:tcW w:w="812" w:type="dxa"/>
            <w:tcBorders/>
            <w:shd w:fill="EDEDED" w:val="clear"/>
            <w:vAlign w:val="center"/>
          </w:tcPr>
          <w:p>
            <w:pPr>
              <w:pStyle w:val="TableContents"/>
              <w:bidi w:val="0"/>
              <w:spacing w:lineRule="atLeast" w:line="260" w:before="0" w:after="0"/>
              <w:jc w:val="right"/>
              <w:rPr>
                <w:rFonts w:ascii="Arial" w:hAnsi="Arial"/>
                <w:color w:val="191919"/>
                <w:sz w:val="16"/>
              </w:rPr>
            </w:pPr>
            <w:r>
              <w:rPr>
                <w:rFonts w:ascii="Arial" w:hAnsi="Arial"/>
                <w:color w:val="191919"/>
                <w:sz w:val="16"/>
              </w:rPr>
              <w:t>75</w:t>
            </w:r>
          </w:p>
        </w:tc>
        <w:tc>
          <w:tcPr>
            <w:tcW w:w="477" w:type="dxa"/>
            <w:tcBorders/>
            <w:shd w:fill="EDEDED" w:val="clear"/>
            <w:vAlign w:val="center"/>
          </w:tcPr>
          <w:p>
            <w:pPr>
              <w:pStyle w:val="TableContents"/>
              <w:bidi w:val="0"/>
              <w:spacing w:lineRule="atLeast" w:line="260" w:before="0" w:after="0"/>
              <w:jc w:val="left"/>
              <w:rPr>
                <w:rFonts w:ascii="Arial" w:hAnsi="Arial"/>
                <w:color w:val="191919"/>
                <w:sz w:val="16"/>
              </w:rPr>
            </w:pPr>
            <w:r>
              <w:rPr>
                <w:rFonts w:ascii="Arial" w:hAnsi="Arial"/>
                <w:color w:val="191919"/>
                <w:sz w:val="16"/>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Jeff A. Underwood</w:t>
            </w:r>
          </w:p>
        </w:tc>
        <w:tc>
          <w:tcPr>
            <w:tcW w:w="24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60" w:before="0" w:after="0"/>
              <w:jc w:val="left"/>
              <w:rPr>
                <w:color w:val="191919"/>
              </w:rPr>
            </w:pPr>
            <w:r>
              <w:rPr>
                <w:color w:val="191919"/>
              </w:rPr>
              <w:t> </w:t>
            </w:r>
          </w:p>
        </w:tc>
        <w:tc>
          <w:tcPr>
            <w:tcW w:w="1361" w:type="dxa"/>
            <w:tcBorders/>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286,000</w:t>
            </w:r>
          </w:p>
        </w:tc>
        <w:tc>
          <w:tcPr>
            <w:tcW w:w="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260" w:before="0" w:after="0"/>
              <w:jc w:val="left"/>
              <w:rPr>
                <w:color w:val="191919"/>
              </w:rPr>
            </w:pPr>
            <w:r>
              <w:rPr>
                <w:color w:val="191919"/>
              </w:rPr>
              <w:t> </w:t>
            </w:r>
          </w:p>
        </w:tc>
        <w:tc>
          <w:tcPr>
            <w:tcW w:w="812" w:type="dxa"/>
            <w:tcBorders/>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65</w:t>
            </w:r>
          </w:p>
        </w:tc>
        <w:tc>
          <w:tcPr>
            <w:tcW w:w="477" w:type="dxa"/>
            <w:tcBorders/>
            <w:vAlign w:val="center"/>
          </w:tcPr>
          <w:p>
            <w:pPr>
              <w:pStyle w:val="TableContents"/>
              <w:bidi w:val="0"/>
              <w:spacing w:lineRule="atLeast" w:line="260" w:before="0" w:after="0"/>
              <w:jc w:val="left"/>
              <w:rPr>
                <w:rFonts w:ascii="Arial" w:hAnsi="Arial"/>
                <w:b/>
                <w:color w:val="191919"/>
                <w:sz w:val="16"/>
              </w:rPr>
            </w:pPr>
            <w:r>
              <w:rPr>
                <w:rFonts w:ascii="Arial" w:hAnsi="Arial"/>
                <w:b/>
                <w:color w:val="191919"/>
                <w:sz w:val="16"/>
              </w:rPr>
              <w:t>%</w:t>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260" w:before="0" w:after="0"/>
              <w:jc w:val="left"/>
              <w:rPr>
                <w:color w:val="191919"/>
              </w:rPr>
            </w:pPr>
            <w:r>
              <w:rPr>
                <w:color w:val="191919"/>
              </w:rPr>
              <w:t> </w:t>
            </w:r>
          </w:p>
        </w:tc>
        <w:tc>
          <w:tcPr>
            <w:tcW w:w="812" w:type="dxa"/>
            <w:tcBorders/>
            <w:vAlign w:val="center"/>
          </w:tcPr>
          <w:p>
            <w:pPr>
              <w:pStyle w:val="TableContents"/>
              <w:bidi w:val="0"/>
              <w:spacing w:lineRule="atLeast" w:line="260" w:before="0" w:after="0"/>
              <w:jc w:val="right"/>
              <w:rPr>
                <w:rFonts w:ascii="Arial" w:hAnsi="Arial"/>
                <w:color w:val="191919"/>
                <w:sz w:val="16"/>
              </w:rPr>
            </w:pPr>
            <w:r>
              <w:rPr>
                <w:rFonts w:ascii="Arial" w:hAnsi="Arial"/>
                <w:color w:val="191919"/>
                <w:sz w:val="16"/>
              </w:rPr>
              <w:t>55</w:t>
            </w:r>
          </w:p>
        </w:tc>
        <w:tc>
          <w:tcPr>
            <w:tcW w:w="477" w:type="dxa"/>
            <w:tcBorders/>
            <w:vAlign w:val="center"/>
          </w:tcPr>
          <w:p>
            <w:pPr>
              <w:pStyle w:val="TableContents"/>
              <w:bidi w:val="0"/>
              <w:spacing w:lineRule="atLeast" w:line="260" w:before="0" w:after="0"/>
              <w:jc w:val="left"/>
              <w:rPr>
                <w:rFonts w:ascii="Arial" w:hAnsi="Arial"/>
                <w:color w:val="191919"/>
                <w:sz w:val="16"/>
              </w:rPr>
            </w:pPr>
            <w:r>
              <w:rPr>
                <w:rFonts w:ascii="Arial" w:hAnsi="Arial"/>
                <w:color w:val="191919"/>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1865" w:type="dxa"/>
            <w:gridSpan w:val="5"/>
            <w:tcBorders/>
            <w:shd w:fill="EDEDED" w:val="clear"/>
            <w:vAlign w:val="center"/>
          </w:tcPr>
          <w:p>
            <w:pPr>
              <w:pStyle w:val="TableContents"/>
              <w:bidi w:val="0"/>
              <w:spacing w:before="0" w:after="283"/>
              <w:jc w:val="left"/>
              <w:rPr>
                <w:sz w:val="4"/>
                <w:szCs w:val="4"/>
              </w:rPr>
            </w:pPr>
            <w:r>
              <w:rPr>
                <w:sz w:val="4"/>
                <w:szCs w:val="4"/>
              </w:rPr>
            </w:r>
          </w:p>
        </w:tc>
        <w:tc>
          <w:tcPr>
            <w:tcW w:w="1865" w:type="dxa"/>
            <w:gridSpan w:val="5"/>
            <w:tcBorders/>
            <w:shd w:fill="EDEDED" w:val="clear"/>
            <w:vAlign w:val="center"/>
          </w:tcPr>
          <w:p>
            <w:pPr>
              <w:pStyle w:val="TableContents"/>
              <w:bidi w:val="0"/>
              <w:spacing w:before="0" w:after="283"/>
              <w:jc w:val="left"/>
              <w:rPr>
                <w:sz w:val="4"/>
                <w:szCs w:val="4"/>
              </w:rPr>
            </w:pPr>
            <w:r>
              <w:rPr>
                <w:sz w:val="4"/>
                <w:szCs w:val="4"/>
              </w:rPr>
            </w:r>
          </w:p>
        </w:tc>
        <w:tc>
          <w:tcPr>
            <w:tcW w:w="1865" w:type="dxa"/>
            <w:gridSpan w:val="5"/>
            <w:tcBorders/>
            <w:shd w:fill="EDEDED" w:val="clear"/>
            <w:vAlign w:val="center"/>
          </w:tcPr>
          <w:p>
            <w:pPr>
              <w:pStyle w:val="TableContents"/>
              <w:bidi w:val="0"/>
              <w:spacing w:before="0" w:after="283"/>
              <w:jc w:val="left"/>
              <w:rPr>
                <w:sz w:val="4"/>
                <w:szCs w:val="4"/>
              </w:rPr>
            </w:pPr>
            <w:r>
              <w:rPr>
                <w:sz w:val="4"/>
                <w:szCs w:val="4"/>
              </w:rPr>
            </w:r>
          </w:p>
        </w:tc>
        <w:tc>
          <w:tcPr>
            <w:tcW w:w="315"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Luke E. Alverson</w:t>
            </w:r>
          </w:p>
        </w:tc>
        <w:tc>
          <w:tcPr>
            <w:tcW w:w="24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lineRule="atLeast" w:line="260" w:before="0" w:after="0"/>
              <w:jc w:val="left"/>
              <w:rPr>
                <w:color w:val="191919"/>
              </w:rPr>
            </w:pPr>
            <w:r>
              <w:rPr>
                <w:color w:val="191919"/>
              </w:rPr>
              <w:t> </w:t>
            </w:r>
          </w:p>
        </w:tc>
        <w:tc>
          <w:tcPr>
            <w:tcW w:w="1361" w:type="dxa"/>
            <w:tcBorders/>
            <w:shd w:fill="EDEDED" w:val="clear"/>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242,000</w:t>
            </w:r>
          </w:p>
        </w:tc>
        <w:tc>
          <w:tcPr>
            <w:tcW w:w="44"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lineRule="atLeast" w:line="260" w:before="0" w:after="0"/>
              <w:jc w:val="left"/>
              <w:rPr>
                <w:color w:val="191919"/>
              </w:rPr>
            </w:pPr>
            <w:r>
              <w:rPr>
                <w:color w:val="191919"/>
              </w:rPr>
              <w:t> </w:t>
            </w:r>
          </w:p>
        </w:tc>
        <w:tc>
          <w:tcPr>
            <w:tcW w:w="812" w:type="dxa"/>
            <w:tcBorders/>
            <w:shd w:fill="EDEDED" w:val="clear"/>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55</w:t>
            </w:r>
          </w:p>
        </w:tc>
        <w:tc>
          <w:tcPr>
            <w:tcW w:w="477" w:type="dxa"/>
            <w:tcBorders/>
            <w:shd w:fill="EDEDED" w:val="clear"/>
            <w:vAlign w:val="center"/>
          </w:tcPr>
          <w:p>
            <w:pPr>
              <w:pStyle w:val="TableContents"/>
              <w:bidi w:val="0"/>
              <w:spacing w:lineRule="atLeast" w:line="260" w:before="0" w:after="0"/>
              <w:jc w:val="left"/>
              <w:rPr>
                <w:rFonts w:ascii="Arial" w:hAnsi="Arial"/>
                <w:b/>
                <w:color w:val="191919"/>
                <w:sz w:val="16"/>
              </w:rPr>
            </w:pPr>
            <w:r>
              <w:rPr>
                <w:rFonts w:ascii="Arial" w:hAnsi="Arial"/>
                <w:b/>
                <w:color w:val="191919"/>
                <w:sz w:val="16"/>
              </w:rPr>
              <w:t>%</w:t>
            </w:r>
          </w:p>
        </w:tc>
        <w:tc>
          <w:tcPr>
            <w:tcW w:w="240"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before="0" w:after="283"/>
              <w:jc w:val="left"/>
              <w:rPr/>
            </w:pPr>
            <w:r>
              <w:rPr/>
              <w:t> </w:t>
            </w:r>
          </w:p>
        </w:tc>
        <w:tc>
          <w:tcPr>
            <w:tcW w:w="168" w:type="dxa"/>
            <w:tcBorders/>
            <w:shd w:fill="EDEDED" w:val="clear"/>
            <w:vAlign w:val="center"/>
          </w:tcPr>
          <w:p>
            <w:pPr>
              <w:pStyle w:val="TableContents"/>
              <w:bidi w:val="0"/>
              <w:spacing w:lineRule="atLeast" w:line="260" w:before="0" w:after="0"/>
              <w:jc w:val="left"/>
              <w:rPr>
                <w:color w:val="191919"/>
              </w:rPr>
            </w:pPr>
            <w:r>
              <w:rPr>
                <w:color w:val="191919"/>
              </w:rPr>
              <w:t> </w:t>
            </w:r>
          </w:p>
        </w:tc>
        <w:tc>
          <w:tcPr>
            <w:tcW w:w="812" w:type="dxa"/>
            <w:tcBorders/>
            <w:shd w:fill="EDEDED" w:val="clear"/>
            <w:vAlign w:val="center"/>
          </w:tcPr>
          <w:p>
            <w:pPr>
              <w:pStyle w:val="TableContents"/>
              <w:bidi w:val="0"/>
              <w:spacing w:lineRule="atLeast" w:line="260" w:before="0" w:after="0"/>
              <w:jc w:val="right"/>
              <w:rPr>
                <w:rFonts w:ascii="Arial" w:hAnsi="Arial"/>
                <w:color w:val="191919"/>
                <w:sz w:val="16"/>
              </w:rPr>
            </w:pPr>
            <w:r>
              <w:rPr>
                <w:rFonts w:ascii="Arial" w:hAnsi="Arial"/>
                <w:color w:val="191919"/>
                <w:sz w:val="16"/>
              </w:rPr>
              <w:t>55</w:t>
            </w:r>
          </w:p>
        </w:tc>
        <w:tc>
          <w:tcPr>
            <w:tcW w:w="477" w:type="dxa"/>
            <w:tcBorders/>
            <w:shd w:fill="EDEDED" w:val="clear"/>
            <w:vAlign w:val="center"/>
          </w:tcPr>
          <w:p>
            <w:pPr>
              <w:pStyle w:val="TableContents"/>
              <w:bidi w:val="0"/>
              <w:spacing w:lineRule="atLeast" w:line="260" w:before="0" w:after="0"/>
              <w:jc w:val="left"/>
              <w:rPr>
                <w:rFonts w:ascii="Arial" w:hAnsi="Arial"/>
                <w:color w:val="191919"/>
                <w:sz w:val="16"/>
              </w:rPr>
            </w:pPr>
            <w:r>
              <w:rPr>
                <w:rFonts w:ascii="Arial" w:hAnsi="Arial"/>
                <w:color w:val="191919"/>
                <w:sz w:val="16"/>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315"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7DB655"/>
            </w:tcBorders>
            <w:tcMar>
              <w:bottom w:w="40" w:type="dxa"/>
            </w:tcMar>
            <w:vAlign w:val="center"/>
          </w:tcPr>
          <w:p>
            <w:pPr>
              <w:pStyle w:val="TableContents"/>
              <w:bidi w:val="0"/>
              <w:spacing w:lineRule="atLeast" w:line="260" w:before="0" w:after="0"/>
              <w:jc w:val="left"/>
              <w:rPr>
                <w:rFonts w:ascii="Arial" w:hAnsi="Arial"/>
                <w:b/>
                <w:color w:val="191919"/>
                <w:sz w:val="17"/>
              </w:rPr>
            </w:pPr>
            <w:r>
              <w:rPr>
                <w:rFonts w:ascii="Arial" w:hAnsi="Arial"/>
                <w:b/>
                <w:color w:val="191919"/>
                <w:sz w:val="17"/>
              </w:rPr>
              <w:t>Danielle R. Garde</w:t>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110" w:type="dxa"/>
            <w:tcBorders>
              <w:bottom w:val="single" w:sz="6" w:space="0" w:color="7DB655"/>
            </w:tcBorders>
            <w:tcMar>
              <w:bottom w:w="28" w:type="dxa"/>
            </w:tcMar>
            <w:vAlign w:val="center"/>
          </w:tcPr>
          <w:p>
            <w:pPr>
              <w:pStyle w:val="TableContents"/>
              <w:bidi w:val="0"/>
              <w:spacing w:before="0" w:after="283"/>
              <w:jc w:val="left"/>
              <w:rPr/>
            </w:pPr>
            <w:r>
              <w:rPr/>
              <w:t> </w:t>
            </w:r>
          </w:p>
        </w:tc>
        <w:tc>
          <w:tcPr>
            <w:tcW w:w="110" w:type="dxa"/>
            <w:tcBorders>
              <w:bottom w:val="single" w:sz="6" w:space="0" w:color="7DB655"/>
            </w:tcBorders>
            <w:tcMar>
              <w:bottom w:w="40" w:type="dxa"/>
            </w:tcMar>
            <w:vAlign w:val="center"/>
          </w:tcPr>
          <w:p>
            <w:pPr>
              <w:pStyle w:val="TableContents"/>
              <w:bidi w:val="0"/>
              <w:spacing w:lineRule="atLeast" w:line="260" w:before="0" w:after="0"/>
              <w:jc w:val="left"/>
              <w:rPr>
                <w:color w:val="191919"/>
              </w:rPr>
            </w:pPr>
            <w:r>
              <w:rPr>
                <w:color w:val="191919"/>
              </w:rPr>
              <w:t> </w:t>
            </w:r>
          </w:p>
        </w:tc>
        <w:tc>
          <w:tcPr>
            <w:tcW w:w="1361" w:type="dxa"/>
            <w:tcBorders>
              <w:bottom w:val="single" w:sz="6" w:space="0" w:color="7DB655"/>
            </w:tcBorders>
            <w:tcMar>
              <w:bottom w:w="40" w:type="dxa"/>
            </w:tcMar>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242,000</w:t>
            </w:r>
          </w:p>
        </w:tc>
        <w:tc>
          <w:tcPr>
            <w:tcW w:w="44"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168" w:type="dxa"/>
            <w:tcBorders>
              <w:bottom w:val="single" w:sz="6" w:space="0" w:color="7DB655"/>
            </w:tcBorders>
            <w:tcMar>
              <w:bottom w:w="28" w:type="dxa"/>
            </w:tcMar>
            <w:vAlign w:val="center"/>
          </w:tcPr>
          <w:p>
            <w:pPr>
              <w:pStyle w:val="TableContents"/>
              <w:bidi w:val="0"/>
              <w:spacing w:before="0" w:after="283"/>
              <w:jc w:val="left"/>
              <w:rPr/>
            </w:pPr>
            <w:r>
              <w:rPr/>
              <w:t> </w:t>
            </w:r>
          </w:p>
        </w:tc>
        <w:tc>
          <w:tcPr>
            <w:tcW w:w="168" w:type="dxa"/>
            <w:tcBorders>
              <w:bottom w:val="single" w:sz="6" w:space="0" w:color="7DB655"/>
            </w:tcBorders>
            <w:tcMar>
              <w:bottom w:w="40" w:type="dxa"/>
            </w:tcMar>
            <w:vAlign w:val="center"/>
          </w:tcPr>
          <w:p>
            <w:pPr>
              <w:pStyle w:val="TableContents"/>
              <w:bidi w:val="0"/>
              <w:spacing w:lineRule="atLeast" w:line="260" w:before="0" w:after="0"/>
              <w:jc w:val="left"/>
              <w:rPr>
                <w:color w:val="191919"/>
              </w:rPr>
            </w:pPr>
            <w:r>
              <w:rPr>
                <w:color w:val="191919"/>
              </w:rPr>
              <w:t> </w:t>
            </w:r>
          </w:p>
        </w:tc>
        <w:tc>
          <w:tcPr>
            <w:tcW w:w="812" w:type="dxa"/>
            <w:tcBorders>
              <w:bottom w:val="single" w:sz="6" w:space="0" w:color="7DB655"/>
            </w:tcBorders>
            <w:tcMar>
              <w:bottom w:w="40" w:type="dxa"/>
            </w:tcMar>
            <w:vAlign w:val="center"/>
          </w:tcPr>
          <w:p>
            <w:pPr>
              <w:pStyle w:val="TableContents"/>
              <w:bidi w:val="0"/>
              <w:spacing w:lineRule="atLeast" w:line="260" w:before="0" w:after="0"/>
              <w:jc w:val="right"/>
              <w:rPr>
                <w:rFonts w:ascii="Arial" w:hAnsi="Arial"/>
                <w:b/>
                <w:color w:val="191919"/>
                <w:sz w:val="16"/>
              </w:rPr>
            </w:pPr>
            <w:r>
              <w:rPr>
                <w:rFonts w:ascii="Arial" w:hAnsi="Arial"/>
                <w:b/>
                <w:color w:val="191919"/>
                <w:sz w:val="16"/>
              </w:rPr>
              <w:t>55</w:t>
            </w:r>
          </w:p>
        </w:tc>
        <w:tc>
          <w:tcPr>
            <w:tcW w:w="477" w:type="dxa"/>
            <w:tcBorders>
              <w:bottom w:val="single" w:sz="6" w:space="0" w:color="7DB655"/>
            </w:tcBorders>
            <w:tcMar>
              <w:bottom w:w="40" w:type="dxa"/>
            </w:tcMar>
            <w:vAlign w:val="center"/>
          </w:tcPr>
          <w:p>
            <w:pPr>
              <w:pStyle w:val="TableContents"/>
              <w:bidi w:val="0"/>
              <w:spacing w:lineRule="atLeast" w:line="260" w:before="0" w:after="0"/>
              <w:jc w:val="left"/>
              <w:rPr>
                <w:rFonts w:ascii="Arial" w:hAnsi="Arial"/>
                <w:b/>
                <w:color w:val="191919"/>
                <w:sz w:val="16"/>
              </w:rPr>
            </w:pPr>
            <w:r>
              <w:rPr>
                <w:rFonts w:ascii="Arial" w:hAnsi="Arial"/>
                <w:b/>
                <w:color w:val="191919"/>
                <w:sz w:val="16"/>
              </w:rPr>
              <w:t>%</w:t>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168" w:type="dxa"/>
            <w:tcBorders>
              <w:bottom w:val="single" w:sz="6" w:space="0" w:color="7DB655"/>
            </w:tcBorders>
            <w:tcMar>
              <w:bottom w:w="28" w:type="dxa"/>
            </w:tcMar>
            <w:vAlign w:val="center"/>
          </w:tcPr>
          <w:p>
            <w:pPr>
              <w:pStyle w:val="TableContents"/>
              <w:bidi w:val="0"/>
              <w:spacing w:before="0" w:after="283"/>
              <w:jc w:val="left"/>
              <w:rPr/>
            </w:pPr>
            <w:r>
              <w:rPr/>
              <w:t> </w:t>
            </w:r>
          </w:p>
        </w:tc>
        <w:tc>
          <w:tcPr>
            <w:tcW w:w="168" w:type="dxa"/>
            <w:tcBorders>
              <w:bottom w:val="single" w:sz="6" w:space="0" w:color="7DB655"/>
            </w:tcBorders>
            <w:tcMar>
              <w:bottom w:w="40" w:type="dxa"/>
            </w:tcMar>
            <w:vAlign w:val="center"/>
          </w:tcPr>
          <w:p>
            <w:pPr>
              <w:pStyle w:val="TableContents"/>
              <w:bidi w:val="0"/>
              <w:spacing w:lineRule="atLeast" w:line="260" w:before="0" w:after="0"/>
              <w:jc w:val="left"/>
              <w:rPr>
                <w:color w:val="191919"/>
              </w:rPr>
            </w:pPr>
            <w:r>
              <w:rPr>
                <w:color w:val="191919"/>
              </w:rPr>
              <w:t> </w:t>
            </w:r>
          </w:p>
        </w:tc>
        <w:tc>
          <w:tcPr>
            <w:tcW w:w="812" w:type="dxa"/>
            <w:tcBorders>
              <w:bottom w:val="single" w:sz="6" w:space="0" w:color="7DB655"/>
            </w:tcBorders>
            <w:tcMar>
              <w:bottom w:w="40" w:type="dxa"/>
            </w:tcMar>
            <w:vAlign w:val="center"/>
          </w:tcPr>
          <w:p>
            <w:pPr>
              <w:pStyle w:val="TableContents"/>
              <w:bidi w:val="0"/>
              <w:spacing w:lineRule="atLeast" w:line="260" w:before="0" w:after="0"/>
              <w:jc w:val="right"/>
              <w:rPr>
                <w:rFonts w:ascii="Arial" w:hAnsi="Arial"/>
                <w:color w:val="191919"/>
                <w:sz w:val="16"/>
              </w:rPr>
            </w:pPr>
            <w:r>
              <w:rPr>
                <w:rFonts w:ascii="Arial" w:hAnsi="Arial"/>
                <w:color w:val="191919"/>
                <w:sz w:val="16"/>
              </w:rPr>
              <w:t>55</w:t>
            </w:r>
          </w:p>
        </w:tc>
        <w:tc>
          <w:tcPr>
            <w:tcW w:w="477" w:type="dxa"/>
            <w:tcBorders>
              <w:bottom w:val="single" w:sz="6" w:space="0" w:color="7DB655"/>
            </w:tcBorders>
            <w:tcMar>
              <w:bottom w:w="40" w:type="dxa"/>
            </w:tcMar>
            <w:vAlign w:val="center"/>
          </w:tcPr>
          <w:p>
            <w:pPr>
              <w:pStyle w:val="TableContents"/>
              <w:bidi w:val="0"/>
              <w:spacing w:lineRule="atLeast" w:line="260" w:before="0" w:after="0"/>
              <w:jc w:val="left"/>
              <w:rPr>
                <w:rFonts w:ascii="Arial" w:hAnsi="Arial"/>
                <w:color w:val="191919"/>
                <w:sz w:val="16"/>
              </w:rPr>
            </w:pPr>
            <w:r>
              <w:rPr>
                <w:rFonts w:ascii="Arial" w:hAnsi="Arial"/>
                <w:color w:val="191919"/>
                <w:sz w:val="16"/>
              </w:rPr>
              <w: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240" w:after="0"/>
        <w:jc w:val="left"/>
        <w:rPr>
          <w:rFonts w:ascii="Arial" w:hAnsi="Arial"/>
          <w:color w:val="191919"/>
          <w:sz w:val="18"/>
        </w:rPr>
      </w:pPr>
      <w:r>
        <w:rPr>
          <w:rFonts w:ascii="Arial" w:hAnsi="Arial"/>
          <w:color w:val="191919"/>
          <w:sz w:val="18"/>
        </w:rPr>
        <w:t xml:space="preserve">The Compensation Committee did not make any changes to AIP target percentages for fiscal 2026, with the exception of Mr. Underwood based on proximity to market benchmarks. The Compensation Committee determined that, in conjunction with the market-driven base salary increases for fiscal 2026 discussed above, the AIP targets and resulting total target cash compensation for each NEO were within acceptable proximity to market benchmarks and provided incentives consistent with our objectives. </w:t>
      </w:r>
    </w:p>
    <w:p>
      <w:pPr>
        <w:pStyle w:val="TextBody"/>
        <w:bidi w:val="0"/>
        <w:spacing w:before="360" w:after="0"/>
        <w:jc w:val="left"/>
        <w:rPr>
          <w:rFonts w:ascii="Arial" w:hAnsi="Arial"/>
          <w:b/>
          <w:color w:val="191919"/>
          <w:sz w:val="21"/>
        </w:rPr>
      </w:pPr>
      <w:r>
        <w:rPr>
          <w:rFonts w:ascii="Arial" w:hAnsi="Arial"/>
          <w:b/>
          <w:color w:val="191919"/>
          <w:sz w:val="21"/>
        </w:rPr>
        <w:t xml:space="preserve">AIP Performance Metrics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working with management and the Compensation Committee’s independent compensation consultant, evaluates and approves the Company’s AIP performance metrics for each fiscal year when AIP target opportunities are established. The Compensation Committee weights performance metrics for each NEO—including business unit leaders—in proportions that ensure performance metrics are heavily weighted toward the Company’s consolidated performance. We believe it is important that all NEOs are primarily focused on setting the strategic direction of the Company (rather than only at the business unit level) and achieving overall Company results.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also believes that AIP payouts should reflect individual, non-financial performance metrics. This serves to mitigate the risks that objective factors can have on incentive pay when overused. Importantly, non-formulaic metrics provide the Compensation Committee with discretion to adjust compensation upward or downward based on </w:t>
      </w:r>
      <w:r>
        <w:rPr>
          <w:rFonts w:ascii="Arial" w:hAnsi="Arial"/>
          <w:i/>
          <w:color w:val="191919"/>
          <w:sz w:val="18"/>
        </w:rPr>
        <w:t>how</w:t>
      </w:r>
      <w:r>
        <w:rPr>
          <w:rFonts w:ascii="Arial" w:hAnsi="Arial"/>
          <w:color w:val="191919"/>
          <w:sz w:val="18"/>
        </w:rPr>
        <w:t xml:space="preserve"> an executive accomplished objectives and goals, thereby rewarding behaviors that are consistent with our business objectives and </w:t>
      </w:r>
      <w:r>
        <w:rPr>
          <w:rFonts w:ascii="Arial" w:hAnsi="Arial"/>
          <w:b/>
          <w:i/>
          <w:color w:val="191919"/>
          <w:sz w:val="18"/>
        </w:rPr>
        <w:t>ACT. RISE.</w:t>
      </w:r>
      <w:r>
        <w:rPr>
          <w:rFonts w:ascii="Arial" w:hAnsi="Arial"/>
          <w:color w:val="191919"/>
          <w:sz w:val="18"/>
        </w:rPr>
        <w:t xml:space="preserve"> core values.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16"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7" descr=""/>
                          <pic:cNvPicPr>
                            <a:picLocks noChangeAspect="1" noChangeArrowheads="1"/>
                          </pic:cNvPicPr>
                        </pic:nvPicPr>
                        <pic:blipFill>
                          <a:blip r:embed="rId29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The Company’s fiscal 2026 AIP performance metrics are set forth below and were unchanged from fiscal 2025. The Compensation Committee selected these performance metrics, with input from management and WTW, because they support the key strategies that we believe drive sustainable and profitable Company growth and create shareholder value.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7772400" cy="1746250"/>
            <wp:effectExtent l="0" t="0" r="0" b="0"/>
            <wp:docPr id="317"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8" descr=""/>
                    <pic:cNvPicPr>
                      <a:picLocks noChangeAspect="1" noChangeArrowheads="1"/>
                    </pic:cNvPicPr>
                  </pic:nvPicPr>
                  <pic:blipFill>
                    <a:blip r:embed="rId300"/>
                    <a:stretch>
                      <a:fillRect/>
                    </a:stretch>
                  </pic:blipFill>
                  <pic:spPr bwMode="auto">
                    <a:xfrm>
                      <a:off x="0" y="0"/>
                      <a:ext cx="7772400" cy="17462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1"/>
        <w:gridCol w:w="60"/>
        <w:gridCol w:w="2512"/>
        <w:gridCol w:w="60"/>
        <w:gridCol w:w="1540"/>
        <w:gridCol w:w="60"/>
        <w:gridCol w:w="2554"/>
        <w:gridCol w:w="60"/>
        <w:gridCol w:w="1728"/>
      </w:tblGrid>
      <w:tr>
        <w:trPr/>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1631" w:type="dxa"/>
            <w:tcBorders/>
            <w:shd w:fill="7DB655" w:val="clear"/>
            <w:vAlign w:val="center"/>
          </w:tcPr>
          <w:p>
            <w:pPr>
              <w:pStyle w:val="TableContents"/>
              <w:bidi w:val="0"/>
              <w:spacing w:before="0" w:after="283"/>
              <w:jc w:val="left"/>
              <w:rPr>
                <w:sz w:val="4"/>
                <w:szCs w:val="4"/>
              </w:rPr>
            </w:pPr>
            <w:r>
              <w:rPr>
                <w:sz w:val="4"/>
                <w:szCs w:val="4"/>
              </w:rPr>
            </w:r>
          </w:p>
        </w:tc>
        <w:tc>
          <w:tcPr>
            <w:tcW w:w="2572" w:type="dxa"/>
            <w:gridSpan w:val="2"/>
            <w:tcBorders/>
            <w:shd w:fill="AACF90" w:val="clear"/>
            <w:vAlign w:val="center"/>
          </w:tcPr>
          <w:p>
            <w:pPr>
              <w:pStyle w:val="TableContents"/>
              <w:bidi w:val="0"/>
              <w:spacing w:before="0" w:after="283"/>
              <w:jc w:val="left"/>
              <w:rPr>
                <w:sz w:val="4"/>
                <w:szCs w:val="4"/>
              </w:rPr>
            </w:pPr>
            <w:r>
              <w:rPr>
                <w:sz w:val="4"/>
                <w:szCs w:val="4"/>
              </w:rPr>
            </w:r>
          </w:p>
        </w:tc>
        <w:tc>
          <w:tcPr>
            <w:tcW w:w="1600" w:type="dxa"/>
            <w:gridSpan w:val="2"/>
            <w:tcBorders/>
            <w:shd w:fill="FF9C30" w:val="clear"/>
            <w:vAlign w:val="center"/>
          </w:tcPr>
          <w:p>
            <w:pPr>
              <w:pStyle w:val="TableContents"/>
              <w:bidi w:val="0"/>
              <w:spacing w:before="0" w:after="283"/>
              <w:jc w:val="left"/>
              <w:rPr>
                <w:sz w:val="4"/>
                <w:szCs w:val="4"/>
              </w:rPr>
            </w:pPr>
            <w:r>
              <w:rPr>
                <w:sz w:val="4"/>
                <w:szCs w:val="4"/>
              </w:rPr>
            </w:r>
          </w:p>
        </w:tc>
        <w:tc>
          <w:tcPr>
            <w:tcW w:w="2614" w:type="dxa"/>
            <w:gridSpan w:val="2"/>
            <w:tcBorders/>
            <w:shd w:fill="FFC280" w:val="clear"/>
            <w:vAlign w:val="center"/>
          </w:tcPr>
          <w:p>
            <w:pPr>
              <w:pStyle w:val="TableContents"/>
              <w:bidi w:val="0"/>
              <w:spacing w:before="0" w:after="283"/>
              <w:jc w:val="left"/>
              <w:rPr>
                <w:sz w:val="4"/>
                <w:szCs w:val="4"/>
              </w:rPr>
            </w:pPr>
            <w:r>
              <w:rPr>
                <w:sz w:val="4"/>
                <w:szCs w:val="4"/>
              </w:rPr>
            </w:r>
          </w:p>
        </w:tc>
        <w:tc>
          <w:tcPr>
            <w:tcW w:w="1788" w:type="dxa"/>
            <w:gridSpan w:val="2"/>
            <w:tcBorders/>
            <w:shd w:fill="0A7DAC" w:val="clear"/>
            <w:vAlign w:val="center"/>
          </w:tcPr>
          <w:p>
            <w:pPr>
              <w:pStyle w:val="TableContents"/>
              <w:bidi w:val="0"/>
              <w:spacing w:before="0" w:after="283"/>
              <w:jc w:val="left"/>
              <w:rPr>
                <w:sz w:val="4"/>
                <w:szCs w:val="4"/>
              </w:rPr>
            </w:pPr>
            <w:r>
              <w:rPr>
                <w:sz w:val="4"/>
                <w:szCs w:val="4"/>
              </w:rPr>
            </w:r>
          </w:p>
        </w:tc>
      </w:tr>
      <w:tr>
        <w:trPr/>
        <w:tc>
          <w:tcPr>
            <w:tcW w:w="1631" w:type="dxa"/>
            <w:tcBorders/>
            <w:shd w:fill="7DB655" w:val="clear"/>
            <w:vAlign w:val="center"/>
          </w:tcPr>
          <w:p>
            <w:pPr>
              <w:pStyle w:val="TableContents"/>
              <w:bidi w:val="0"/>
              <w:spacing w:before="0" w:after="0"/>
              <w:jc w:val="left"/>
              <w:rPr/>
            </w:pPr>
            <w:r>
              <w:rPr/>
              <w:t> </w:t>
            </w:r>
            <w:r>
              <w:rPr>
                <w:rFonts w:ascii="Arial" w:hAnsi="Arial"/>
                <w:b/>
                <w:sz w:val="16"/>
              </w:rPr>
              <w:t>Consolidated</w:t>
            </w:r>
          </w:p>
          <w:p>
            <w:pPr>
              <w:pStyle w:val="TableContents"/>
              <w:bidi w:val="0"/>
              <w:spacing w:before="0" w:after="20"/>
              <w:jc w:val="left"/>
              <w:rPr/>
            </w:pPr>
            <w:r>
              <w:rPr/>
              <w:t> </w:t>
            </w:r>
            <w:r>
              <w:rPr>
                <w:rFonts w:ascii="Arial" w:hAnsi="Arial"/>
                <w:b/>
                <w:sz w:val="16"/>
              </w:rPr>
              <w:t>EBITDA</w:t>
            </w:r>
          </w:p>
        </w:tc>
        <w:tc>
          <w:tcPr>
            <w:tcW w:w="60" w:type="dxa"/>
            <w:tcBorders/>
            <w:shd w:fill="AACF90" w:val="clear"/>
            <w:vAlign w:val="center"/>
          </w:tcPr>
          <w:p>
            <w:pPr>
              <w:pStyle w:val="TableContents"/>
              <w:bidi w:val="0"/>
              <w:spacing w:before="0" w:after="283"/>
              <w:jc w:val="left"/>
              <w:rPr/>
            </w:pPr>
            <w:r>
              <w:rPr/>
              <w:t> </w:t>
            </w:r>
          </w:p>
        </w:tc>
        <w:tc>
          <w:tcPr>
            <w:tcW w:w="2512" w:type="dxa"/>
            <w:tcBorders/>
            <w:shd w:fill="AACF90" w:val="clear"/>
            <w:vAlign w:val="center"/>
          </w:tcPr>
          <w:p>
            <w:pPr>
              <w:pStyle w:val="TableContents"/>
              <w:bidi w:val="0"/>
              <w:spacing w:before="0" w:after="0"/>
              <w:jc w:val="left"/>
              <w:rPr>
                <w:rFonts w:ascii="Arial" w:hAnsi="Arial"/>
                <w:b/>
                <w:sz w:val="16"/>
              </w:rPr>
            </w:pPr>
            <w:r>
              <w:rPr>
                <w:rFonts w:ascii="Arial" w:hAnsi="Arial"/>
                <w:b/>
                <w:sz w:val="16"/>
              </w:rPr>
              <w:t>Consolidated Operating</w:t>
            </w:r>
          </w:p>
          <w:p>
            <w:pPr>
              <w:pStyle w:val="TableContents"/>
              <w:bidi w:val="0"/>
              <w:spacing w:before="0" w:after="20"/>
              <w:jc w:val="left"/>
              <w:rPr>
                <w:rFonts w:ascii="Arial" w:hAnsi="Arial"/>
                <w:b/>
                <w:sz w:val="16"/>
              </w:rPr>
            </w:pPr>
            <w:r>
              <w:rPr>
                <w:rFonts w:ascii="Arial" w:hAnsi="Arial"/>
                <w:b/>
                <w:sz w:val="16"/>
              </w:rPr>
              <w:t>Cash Flow</w:t>
            </w:r>
          </w:p>
        </w:tc>
        <w:tc>
          <w:tcPr>
            <w:tcW w:w="60" w:type="dxa"/>
            <w:tcBorders/>
            <w:shd w:fill="FF9C30" w:val="clear"/>
            <w:vAlign w:val="center"/>
          </w:tcPr>
          <w:p>
            <w:pPr>
              <w:pStyle w:val="TableContents"/>
              <w:bidi w:val="0"/>
              <w:spacing w:before="0" w:after="283"/>
              <w:jc w:val="left"/>
              <w:rPr/>
            </w:pPr>
            <w:r>
              <w:rPr/>
              <w:t> </w:t>
            </w:r>
          </w:p>
        </w:tc>
        <w:tc>
          <w:tcPr>
            <w:tcW w:w="1540" w:type="dxa"/>
            <w:tcBorders/>
            <w:shd w:fill="FF9C30" w:val="clear"/>
            <w:vAlign w:val="center"/>
          </w:tcPr>
          <w:p>
            <w:pPr>
              <w:pStyle w:val="TableContents"/>
              <w:bidi w:val="0"/>
              <w:spacing w:before="0" w:after="0"/>
              <w:jc w:val="left"/>
              <w:rPr>
                <w:rFonts w:ascii="Arial" w:hAnsi="Arial"/>
                <w:b/>
                <w:sz w:val="16"/>
              </w:rPr>
            </w:pPr>
            <w:r>
              <w:rPr>
                <w:rFonts w:ascii="Arial" w:hAnsi="Arial"/>
                <w:b/>
                <w:sz w:val="16"/>
              </w:rPr>
              <w:t>Business Unit</w:t>
            </w:r>
          </w:p>
          <w:p>
            <w:pPr>
              <w:pStyle w:val="TableContents"/>
              <w:bidi w:val="0"/>
              <w:spacing w:before="0" w:after="20"/>
              <w:jc w:val="left"/>
              <w:rPr>
                <w:rFonts w:ascii="Arial" w:hAnsi="Arial"/>
                <w:b/>
                <w:sz w:val="16"/>
              </w:rPr>
            </w:pPr>
            <w:r>
              <w:rPr>
                <w:rFonts w:ascii="Arial" w:hAnsi="Arial"/>
                <w:b/>
                <w:sz w:val="16"/>
              </w:rPr>
              <w:t>EBITDA</w:t>
            </w:r>
          </w:p>
        </w:tc>
        <w:tc>
          <w:tcPr>
            <w:tcW w:w="60" w:type="dxa"/>
            <w:tcBorders/>
            <w:shd w:fill="FFC280" w:val="clear"/>
            <w:vAlign w:val="center"/>
          </w:tcPr>
          <w:p>
            <w:pPr>
              <w:pStyle w:val="TableContents"/>
              <w:bidi w:val="0"/>
              <w:spacing w:before="0" w:after="283"/>
              <w:jc w:val="left"/>
              <w:rPr/>
            </w:pPr>
            <w:r>
              <w:rPr/>
              <w:t> </w:t>
            </w:r>
          </w:p>
        </w:tc>
        <w:tc>
          <w:tcPr>
            <w:tcW w:w="2554" w:type="dxa"/>
            <w:tcBorders/>
            <w:shd w:fill="FFC280" w:val="clear"/>
            <w:vAlign w:val="center"/>
          </w:tcPr>
          <w:p>
            <w:pPr>
              <w:pStyle w:val="TableContents"/>
              <w:bidi w:val="0"/>
              <w:spacing w:before="0" w:after="0"/>
              <w:jc w:val="left"/>
              <w:rPr>
                <w:rFonts w:ascii="Arial" w:hAnsi="Arial"/>
                <w:b/>
                <w:sz w:val="16"/>
              </w:rPr>
            </w:pPr>
            <w:r>
              <w:rPr>
                <w:rFonts w:ascii="Arial" w:hAnsi="Arial"/>
                <w:b/>
                <w:sz w:val="16"/>
              </w:rPr>
              <w:t>Business Unit Operating</w:t>
            </w:r>
          </w:p>
          <w:p>
            <w:pPr>
              <w:pStyle w:val="TableContents"/>
              <w:bidi w:val="0"/>
              <w:spacing w:before="0" w:after="20"/>
              <w:jc w:val="left"/>
              <w:rPr>
                <w:rFonts w:ascii="Arial" w:hAnsi="Arial"/>
                <w:b/>
                <w:sz w:val="16"/>
              </w:rPr>
            </w:pPr>
            <w:r>
              <w:rPr>
                <w:rFonts w:ascii="Arial" w:hAnsi="Arial"/>
                <w:b/>
                <w:sz w:val="16"/>
              </w:rPr>
              <w:t>Cash Flow</w:t>
            </w:r>
          </w:p>
        </w:tc>
        <w:tc>
          <w:tcPr>
            <w:tcW w:w="60" w:type="dxa"/>
            <w:tcBorders/>
            <w:shd w:fill="0A7DAC" w:val="clear"/>
            <w:vAlign w:val="center"/>
          </w:tcPr>
          <w:p>
            <w:pPr>
              <w:pStyle w:val="TableContents"/>
              <w:bidi w:val="0"/>
              <w:spacing w:before="0" w:after="283"/>
              <w:jc w:val="left"/>
              <w:rPr/>
            </w:pPr>
            <w:r>
              <w:rPr/>
              <w:t> </w:t>
            </w:r>
          </w:p>
        </w:tc>
        <w:tc>
          <w:tcPr>
            <w:tcW w:w="1728" w:type="dxa"/>
            <w:tcBorders/>
            <w:shd w:fill="0A7DA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Individual</w:t>
            </w:r>
          </w:p>
          <w:p>
            <w:pPr>
              <w:pStyle w:val="TableContents"/>
              <w:bidi w:val="0"/>
              <w:spacing w:before="0" w:after="20"/>
              <w:jc w:val="left"/>
              <w:rPr>
                <w:rFonts w:ascii="Arial" w:hAnsi="Arial"/>
                <w:b/>
                <w:color w:val="FFFFFF"/>
                <w:sz w:val="16"/>
              </w:rPr>
            </w:pPr>
            <w:r>
              <w:rPr>
                <w:rFonts w:ascii="Arial" w:hAnsi="Arial"/>
                <w:b/>
                <w:color w:val="FFFFFF"/>
                <w:sz w:val="16"/>
              </w:rPr>
              <w:t>Performance</w:t>
            </w:r>
          </w:p>
        </w:tc>
      </w:tr>
      <w:tr>
        <w:trPr/>
        <w:tc>
          <w:tcPr>
            <w:tcW w:w="1631" w:type="dxa"/>
            <w:tcBorders/>
            <w:vAlign w:val="center"/>
          </w:tcPr>
          <w:p>
            <w:pPr>
              <w:pStyle w:val="TableContents"/>
              <w:bidi w:val="0"/>
              <w:spacing w:before="0" w:after="283"/>
              <w:jc w:val="left"/>
              <w:rPr>
                <w:sz w:val="4"/>
                <w:szCs w:val="4"/>
              </w:rPr>
            </w:pPr>
            <w:r>
              <w:rPr>
                <w:sz w:val="4"/>
                <w:szCs w:val="4"/>
              </w:rPr>
            </w:r>
          </w:p>
        </w:tc>
        <w:tc>
          <w:tcPr>
            <w:tcW w:w="2572" w:type="dxa"/>
            <w:gridSpan w:val="2"/>
            <w:tcBorders/>
            <w:vAlign w:val="center"/>
          </w:tcPr>
          <w:p>
            <w:pPr>
              <w:pStyle w:val="TableContents"/>
              <w:bidi w:val="0"/>
              <w:spacing w:before="0" w:after="283"/>
              <w:jc w:val="left"/>
              <w:rPr>
                <w:sz w:val="4"/>
                <w:szCs w:val="4"/>
              </w:rPr>
            </w:pPr>
            <w:r>
              <w:rPr>
                <w:sz w:val="4"/>
                <w:szCs w:val="4"/>
              </w:rPr>
            </w:r>
          </w:p>
        </w:tc>
        <w:tc>
          <w:tcPr>
            <w:tcW w:w="1600"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788" w:type="dxa"/>
            <w:gridSpan w:val="2"/>
            <w:tcBorders/>
            <w:vAlign w:val="center"/>
          </w:tcPr>
          <w:p>
            <w:pPr>
              <w:pStyle w:val="TableContents"/>
              <w:bidi w:val="0"/>
              <w:spacing w:before="0" w:after="283"/>
              <w:jc w:val="left"/>
              <w:rPr>
                <w:sz w:val="4"/>
                <w:szCs w:val="4"/>
              </w:rPr>
            </w:pPr>
            <w:r>
              <w:rPr>
                <w:sz w:val="4"/>
                <w:szCs w:val="4"/>
              </w:rPr>
            </w:r>
          </w:p>
        </w:tc>
      </w:tr>
      <w:tr>
        <w:trPr/>
        <w:tc>
          <w:tcPr>
            <w:tcW w:w="1631"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Why we use it:</w:t>
            </w:r>
            <w:r>
              <w:rPr>
                <w:rFonts w:ascii="Arial" w:hAnsi="Arial"/>
                <w:color w:val="191919"/>
                <w:sz w:val="17"/>
              </w:rPr>
              <w:t xml:space="preserve"> Measures and supports both our revenue and profitability growth objectives, aligning our interests with the interests of our shareholders</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512"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 xml:space="preserve">Why we use it: </w:t>
            </w:r>
            <w:r>
              <w:rPr>
                <w:rFonts w:ascii="Arial" w:hAnsi="Arial"/>
                <w:color w:val="191919"/>
                <w:sz w:val="17"/>
              </w:rPr>
              <w:br/>
              <w:t>Measures and supports our strategic objectives of managing working capital efficiently and delivering strong cash flow from operations to fund growth and returns to shareholders</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40"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Why we use it:</w:t>
            </w:r>
            <w:r>
              <w:rPr>
                <w:rFonts w:ascii="Arial" w:hAnsi="Arial"/>
                <w:color w:val="191919"/>
                <w:sz w:val="17"/>
              </w:rPr>
              <w:t xml:space="preserve"> Measures and supports both our revenue and profitability growth objectives at the segment/operating company level, which are in direct control of the executive</w:t>
            </w:r>
          </w:p>
          <w:p>
            <w:pPr>
              <w:pStyle w:val="TableContents"/>
              <w:bidi w:val="0"/>
              <w:spacing w:before="0" w:after="2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554"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 xml:space="preserve">Why we use it: </w:t>
            </w:r>
            <w:r>
              <w:rPr>
                <w:rFonts w:ascii="Arial" w:hAnsi="Arial"/>
                <w:color w:val="191919"/>
                <w:sz w:val="17"/>
              </w:rPr>
              <w:br/>
              <w:t>Measures and supports our strategic objectives of managing working capital efficiently and delivering strong cash flow from operations to fund growth and returns to shareholders</w:t>
            </w:r>
          </w:p>
          <w:p>
            <w:pPr>
              <w:pStyle w:val="TableContents"/>
              <w:bidi w:val="0"/>
              <w:spacing w:before="0" w:after="20"/>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728"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Why we use it:</w:t>
            </w:r>
            <w:r>
              <w:rPr>
                <w:rFonts w:ascii="Arial" w:hAnsi="Arial"/>
                <w:color w:val="191919"/>
                <w:sz w:val="17"/>
              </w:rPr>
              <w:t xml:space="preserve"> Emphasizes individual performance and qualitative achievement of goals to promote and reward behaviors consistent with our business objectives and core values</w:t>
            </w:r>
          </w:p>
        </w:tc>
      </w:tr>
      <w:tr>
        <w:trPr/>
        <w:tc>
          <w:tcPr>
            <w:tcW w:w="1631" w:type="dxa"/>
            <w:tcBorders/>
            <w:vAlign w:val="center"/>
          </w:tcPr>
          <w:p>
            <w:pPr>
              <w:pStyle w:val="TableContents"/>
              <w:bidi w:val="0"/>
              <w:spacing w:before="0" w:after="283"/>
              <w:jc w:val="left"/>
              <w:rPr>
                <w:sz w:val="4"/>
                <w:szCs w:val="4"/>
              </w:rPr>
            </w:pPr>
            <w:r>
              <w:rPr>
                <w:sz w:val="4"/>
                <w:szCs w:val="4"/>
              </w:rPr>
            </w:r>
          </w:p>
        </w:tc>
        <w:tc>
          <w:tcPr>
            <w:tcW w:w="2572" w:type="dxa"/>
            <w:gridSpan w:val="2"/>
            <w:tcBorders/>
            <w:vAlign w:val="center"/>
          </w:tcPr>
          <w:p>
            <w:pPr>
              <w:pStyle w:val="TableContents"/>
              <w:bidi w:val="0"/>
              <w:spacing w:before="0" w:after="283"/>
              <w:jc w:val="left"/>
              <w:rPr>
                <w:sz w:val="4"/>
                <w:szCs w:val="4"/>
              </w:rPr>
            </w:pPr>
            <w:r>
              <w:rPr>
                <w:sz w:val="4"/>
                <w:szCs w:val="4"/>
              </w:rPr>
            </w:r>
          </w:p>
        </w:tc>
        <w:tc>
          <w:tcPr>
            <w:tcW w:w="1600"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788" w:type="dxa"/>
            <w:gridSpan w:val="2"/>
            <w:tcBorders/>
            <w:vAlign w:val="center"/>
          </w:tcPr>
          <w:p>
            <w:pPr>
              <w:pStyle w:val="TableContents"/>
              <w:bidi w:val="0"/>
              <w:spacing w:before="0" w:after="283"/>
              <w:jc w:val="left"/>
              <w:rPr>
                <w:sz w:val="4"/>
                <w:szCs w:val="4"/>
              </w:rPr>
            </w:pPr>
            <w:r>
              <w:rPr>
                <w:sz w:val="4"/>
                <w:szCs w:val="4"/>
              </w:rPr>
            </w:r>
          </w:p>
        </w:tc>
      </w:tr>
      <w:tr>
        <w:trPr/>
        <w:tc>
          <w:tcPr>
            <w:tcW w:w="1631"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How we measure it:</w:t>
            </w:r>
          </w:p>
          <w:p>
            <w:pPr>
              <w:pStyle w:val="TableContents"/>
              <w:bidi w:val="0"/>
              <w:spacing w:lineRule="atLeast" w:line="240" w:before="0" w:after="20"/>
              <w:jc w:val="left"/>
              <w:rPr>
                <w:rFonts w:ascii="Arial" w:hAnsi="Arial"/>
                <w:color w:val="191919"/>
                <w:sz w:val="17"/>
              </w:rPr>
            </w:pPr>
            <w:r>
              <w:rPr>
                <w:rFonts w:ascii="Arial" w:hAnsi="Arial"/>
                <w:color w:val="191919"/>
                <w:sz w:val="17"/>
              </w:rPr>
              <w:t>U.S. GAAP net income, plus interest, taxes, depreciation, and amortization</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512"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How we measure it:</w:t>
            </w:r>
          </w:p>
          <w:p>
            <w:pPr>
              <w:pStyle w:val="TableContents"/>
              <w:bidi w:val="0"/>
              <w:spacing w:lineRule="atLeast" w:line="240" w:before="0" w:after="20"/>
              <w:jc w:val="left"/>
              <w:rPr>
                <w:rFonts w:ascii="Arial" w:hAnsi="Arial"/>
                <w:color w:val="191919"/>
                <w:sz w:val="17"/>
              </w:rPr>
            </w:pPr>
            <w:r>
              <w:rPr>
                <w:rFonts w:ascii="Arial" w:hAnsi="Arial"/>
                <w:color w:val="191919"/>
                <w:sz w:val="17"/>
              </w:rPr>
              <w:t>U.S. GAAP (net cash provided by operating activity)</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40"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How we measure it:</w:t>
            </w:r>
          </w:p>
          <w:p>
            <w:pPr>
              <w:pStyle w:val="TableContents"/>
              <w:bidi w:val="0"/>
              <w:spacing w:lineRule="atLeast" w:line="240" w:before="0" w:after="20"/>
              <w:jc w:val="left"/>
              <w:rPr>
                <w:rFonts w:ascii="Arial" w:hAnsi="Arial"/>
                <w:color w:val="191919"/>
                <w:sz w:val="17"/>
              </w:rPr>
            </w:pPr>
            <w:r>
              <w:rPr>
                <w:rFonts w:ascii="Arial" w:hAnsi="Arial"/>
                <w:color w:val="191919"/>
                <w:sz w:val="17"/>
              </w:rPr>
              <w:t>U.S. GAAP net income, plus interest, taxes, depreciation, and amortization</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2554"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How we measure it:</w:t>
            </w:r>
          </w:p>
          <w:p>
            <w:pPr>
              <w:pStyle w:val="TableContents"/>
              <w:bidi w:val="0"/>
              <w:spacing w:lineRule="atLeast" w:line="240" w:before="0" w:after="20"/>
              <w:jc w:val="left"/>
              <w:rPr>
                <w:rFonts w:ascii="Arial" w:hAnsi="Arial"/>
                <w:color w:val="191919"/>
                <w:sz w:val="17"/>
              </w:rPr>
            </w:pPr>
            <w:r>
              <w:rPr>
                <w:rFonts w:ascii="Arial" w:hAnsi="Arial"/>
                <w:color w:val="191919"/>
                <w:sz w:val="17"/>
              </w:rPr>
              <w:t>U.S. GAAP (net cash provided by operating activity)</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728" w:type="dxa"/>
            <w:tcBorders>
              <w:bottom w:val="single" w:sz="6"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How we measure it:</w:t>
            </w:r>
          </w:p>
          <w:p>
            <w:pPr>
              <w:pStyle w:val="TableContents"/>
              <w:bidi w:val="0"/>
              <w:spacing w:lineRule="atLeast" w:line="240" w:before="0" w:after="0"/>
              <w:jc w:val="left"/>
              <w:rPr>
                <w:rFonts w:ascii="Arial" w:hAnsi="Arial"/>
                <w:color w:val="191919"/>
                <w:sz w:val="17"/>
              </w:rPr>
            </w:pPr>
            <w:r>
              <w:rPr>
                <w:rFonts w:ascii="Arial" w:hAnsi="Arial"/>
                <w:color w:val="191919"/>
                <w:sz w:val="17"/>
              </w:rPr>
              <w:t>Board and CEO assessment of individual performance against predetermined goals and objectives</w:t>
            </w:r>
          </w:p>
          <w:p>
            <w:pPr>
              <w:pStyle w:val="TableContents"/>
              <w:bidi w:val="0"/>
              <w:spacing w:before="0" w:after="20"/>
              <w:jc w:val="left"/>
              <w:rPr/>
            </w:pPr>
            <w:r>
              <w:rPr/>
              <w:t> </w:t>
            </w:r>
          </w:p>
        </w:tc>
      </w:tr>
      <w:tr>
        <w:trPr/>
        <w:tc>
          <w:tcPr>
            <w:tcW w:w="1631" w:type="dxa"/>
            <w:tcBorders/>
            <w:vAlign w:val="center"/>
          </w:tcPr>
          <w:p>
            <w:pPr>
              <w:pStyle w:val="TableContents"/>
              <w:bidi w:val="0"/>
              <w:spacing w:before="0" w:after="283"/>
              <w:jc w:val="left"/>
              <w:rPr>
                <w:sz w:val="4"/>
                <w:szCs w:val="4"/>
              </w:rPr>
            </w:pPr>
            <w:r>
              <w:rPr>
                <w:sz w:val="4"/>
                <w:szCs w:val="4"/>
              </w:rPr>
            </w:r>
          </w:p>
        </w:tc>
        <w:tc>
          <w:tcPr>
            <w:tcW w:w="2572" w:type="dxa"/>
            <w:gridSpan w:val="2"/>
            <w:tcBorders/>
            <w:vAlign w:val="center"/>
          </w:tcPr>
          <w:p>
            <w:pPr>
              <w:pStyle w:val="TableContents"/>
              <w:bidi w:val="0"/>
              <w:spacing w:before="0" w:after="283"/>
              <w:jc w:val="left"/>
              <w:rPr>
                <w:sz w:val="4"/>
                <w:szCs w:val="4"/>
              </w:rPr>
            </w:pPr>
            <w:r>
              <w:rPr>
                <w:sz w:val="4"/>
                <w:szCs w:val="4"/>
              </w:rPr>
            </w:r>
          </w:p>
        </w:tc>
        <w:tc>
          <w:tcPr>
            <w:tcW w:w="1600" w:type="dxa"/>
            <w:gridSpan w:val="2"/>
            <w:tcBorders/>
            <w:vAlign w:val="center"/>
          </w:tcPr>
          <w:p>
            <w:pPr>
              <w:pStyle w:val="TableContents"/>
              <w:bidi w:val="0"/>
              <w:spacing w:before="0" w:after="283"/>
              <w:jc w:val="left"/>
              <w:rPr>
                <w:sz w:val="4"/>
                <w:szCs w:val="4"/>
              </w:rPr>
            </w:pPr>
            <w:r>
              <w:rPr>
                <w:sz w:val="4"/>
                <w:szCs w:val="4"/>
              </w:rPr>
            </w:r>
          </w:p>
        </w:tc>
        <w:tc>
          <w:tcPr>
            <w:tcW w:w="2614" w:type="dxa"/>
            <w:gridSpan w:val="2"/>
            <w:tcBorders/>
            <w:vAlign w:val="center"/>
          </w:tcPr>
          <w:p>
            <w:pPr>
              <w:pStyle w:val="TableContents"/>
              <w:bidi w:val="0"/>
              <w:spacing w:before="0" w:after="283"/>
              <w:jc w:val="left"/>
              <w:rPr>
                <w:sz w:val="4"/>
                <w:szCs w:val="4"/>
              </w:rPr>
            </w:pPr>
            <w:r>
              <w:rPr>
                <w:sz w:val="4"/>
                <w:szCs w:val="4"/>
              </w:rPr>
            </w:r>
          </w:p>
        </w:tc>
        <w:tc>
          <w:tcPr>
            <w:tcW w:w="1788" w:type="dxa"/>
            <w:gridSpan w:val="2"/>
            <w:tcBorders/>
            <w:vAlign w:val="center"/>
          </w:tcPr>
          <w:p>
            <w:pPr>
              <w:pStyle w:val="TableContents"/>
              <w:bidi w:val="0"/>
              <w:spacing w:before="0" w:after="283"/>
              <w:jc w:val="left"/>
              <w:rPr>
                <w:sz w:val="4"/>
                <w:szCs w:val="4"/>
              </w:rPr>
            </w:pPr>
            <w:r>
              <w:rPr>
                <w:sz w:val="4"/>
                <w:szCs w:val="4"/>
              </w:rPr>
            </w:r>
          </w:p>
        </w:tc>
      </w:tr>
      <w:tr>
        <w:trPr/>
        <w:tc>
          <w:tcPr>
            <w:tcW w:w="1631" w:type="dxa"/>
            <w:tcBorders>
              <w:bottom w:val="single" w:sz="8"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Payout range:</w:t>
            </w:r>
          </w:p>
          <w:p>
            <w:pPr>
              <w:pStyle w:val="TableContents"/>
              <w:bidi w:val="0"/>
              <w:spacing w:lineRule="atLeast" w:line="240" w:before="0" w:after="20"/>
              <w:jc w:val="left"/>
              <w:rPr>
                <w:rFonts w:ascii="Arial" w:hAnsi="Arial"/>
                <w:color w:val="191919"/>
                <w:sz w:val="17"/>
              </w:rPr>
            </w:pPr>
            <w:r>
              <w:rPr>
                <w:rFonts w:ascii="Arial" w:hAnsi="Arial"/>
                <w:color w:val="191919"/>
                <w:sz w:val="17"/>
              </w:rPr>
              <w:t>0%—200%</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2512" w:type="dxa"/>
            <w:tcBorders>
              <w:bottom w:val="single" w:sz="8"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Payout range:</w:t>
            </w:r>
          </w:p>
          <w:p>
            <w:pPr>
              <w:pStyle w:val="TableContents"/>
              <w:bidi w:val="0"/>
              <w:spacing w:lineRule="atLeast" w:line="240" w:before="0" w:after="20"/>
              <w:jc w:val="left"/>
              <w:rPr>
                <w:rFonts w:ascii="Arial" w:hAnsi="Arial"/>
                <w:color w:val="191919"/>
                <w:sz w:val="17"/>
              </w:rPr>
            </w:pPr>
            <w:r>
              <w:rPr>
                <w:rFonts w:ascii="Arial" w:hAnsi="Arial"/>
                <w:color w:val="191919"/>
                <w:sz w:val="17"/>
              </w:rPr>
              <w:t>0%—200%</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1540" w:type="dxa"/>
            <w:tcBorders>
              <w:bottom w:val="single" w:sz="8"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Payout range:</w:t>
            </w:r>
          </w:p>
          <w:p>
            <w:pPr>
              <w:pStyle w:val="TableContents"/>
              <w:bidi w:val="0"/>
              <w:spacing w:lineRule="atLeast" w:line="240" w:before="0" w:after="20"/>
              <w:jc w:val="left"/>
              <w:rPr>
                <w:rFonts w:ascii="Arial" w:hAnsi="Arial"/>
                <w:color w:val="191919"/>
                <w:sz w:val="17"/>
              </w:rPr>
            </w:pPr>
            <w:r>
              <w:rPr>
                <w:rFonts w:ascii="Arial" w:hAnsi="Arial"/>
                <w:color w:val="191919"/>
                <w:sz w:val="17"/>
              </w:rPr>
              <w:t>0%—200%</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2554" w:type="dxa"/>
            <w:tcBorders>
              <w:bottom w:val="single" w:sz="8"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Payout range:</w:t>
            </w:r>
          </w:p>
          <w:p>
            <w:pPr>
              <w:pStyle w:val="TableContents"/>
              <w:bidi w:val="0"/>
              <w:spacing w:lineRule="atLeast" w:line="240" w:before="0" w:after="20"/>
              <w:jc w:val="left"/>
              <w:rPr>
                <w:rFonts w:ascii="Arial" w:hAnsi="Arial"/>
                <w:color w:val="191919"/>
                <w:sz w:val="17"/>
              </w:rPr>
            </w:pPr>
            <w:r>
              <w:rPr>
                <w:rFonts w:ascii="Arial" w:hAnsi="Arial"/>
                <w:color w:val="191919"/>
                <w:sz w:val="17"/>
              </w:rPr>
              <w:t>0%—200%</w:t>
            </w:r>
          </w:p>
        </w:tc>
        <w:tc>
          <w:tcPr>
            <w:tcW w:w="60" w:type="dxa"/>
            <w:tcBorders>
              <w:bottom w:val="single" w:sz="8" w:space="0" w:color="7DB655"/>
            </w:tcBorders>
            <w:tcMar>
              <w:bottom w:w="28" w:type="dxa"/>
            </w:tcMar>
            <w:vAlign w:val="center"/>
          </w:tcPr>
          <w:p>
            <w:pPr>
              <w:pStyle w:val="TableContents"/>
              <w:bidi w:val="0"/>
              <w:spacing w:before="0" w:after="283"/>
              <w:jc w:val="left"/>
              <w:rPr/>
            </w:pPr>
            <w:r>
              <w:rPr/>
              <w:t> </w:t>
            </w:r>
          </w:p>
        </w:tc>
        <w:tc>
          <w:tcPr>
            <w:tcW w:w="1728" w:type="dxa"/>
            <w:tcBorders>
              <w:bottom w:val="single" w:sz="8" w:space="0" w:color="7DB655"/>
            </w:tcBorders>
            <w:tcMar>
              <w:bottom w:w="28"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Payout range:</w:t>
            </w:r>
          </w:p>
          <w:p>
            <w:pPr>
              <w:pStyle w:val="TableContents"/>
              <w:bidi w:val="0"/>
              <w:spacing w:lineRule="atLeast" w:line="240" w:before="0" w:after="0"/>
              <w:jc w:val="left"/>
              <w:rPr>
                <w:rFonts w:ascii="Arial" w:hAnsi="Arial"/>
                <w:color w:val="191919"/>
                <w:sz w:val="17"/>
              </w:rPr>
            </w:pPr>
            <w:r>
              <w:rPr>
                <w:rFonts w:ascii="Arial" w:hAnsi="Arial"/>
                <w:color w:val="191919"/>
                <w:sz w:val="17"/>
              </w:rPr>
              <w:t>0%—200%</w:t>
            </w:r>
          </w:p>
          <w:p>
            <w:pPr>
              <w:pStyle w:val="TableContents"/>
              <w:bidi w:val="0"/>
              <w:spacing w:before="0" w:after="20"/>
              <w:jc w:val="left"/>
              <w:rPr/>
            </w:pPr>
            <w:r>
              <w:rPr/>
              <w:t> </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18"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9" descr=""/>
                          <pic:cNvPicPr>
                            <a:picLocks noChangeAspect="1" noChangeArrowheads="1"/>
                          </pic:cNvPicPr>
                        </pic:nvPicPr>
                        <pic:blipFill>
                          <a:blip r:embed="rId30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191919"/>
          <w:sz w:val="21"/>
        </w:rPr>
      </w:pPr>
      <w:r>
        <w:rPr>
          <w:rFonts w:ascii="Arial" w:hAnsi="Arial"/>
          <w:b/>
          <w:color w:val="191919"/>
          <w:sz w:val="21"/>
        </w:rPr>
        <w:t xml:space="preserve">AIP Performance Calculation and Payout </w:t>
      </w:r>
    </w:p>
    <w:p>
      <w:pPr>
        <w:pStyle w:val="TextBody"/>
        <w:bidi w:val="0"/>
        <w:spacing w:before="200" w:after="0"/>
        <w:jc w:val="left"/>
        <w:rPr>
          <w:rFonts w:ascii="Arial" w:hAnsi="Arial"/>
          <w:color w:val="191919"/>
          <w:sz w:val="18"/>
        </w:rPr>
      </w:pPr>
      <w:r>
        <w:rPr>
          <w:rFonts w:ascii="Arial" w:hAnsi="Arial"/>
          <w:color w:val="191919"/>
          <w:sz w:val="18"/>
        </w:rPr>
        <w:t xml:space="preserve">When the Compensation Committee approves AIP performance metrics for the year, it also establishes a payout matrix for the AIP, which determines the percentage of AIP target that is paid for performance achieved. Achievement of financial-based performance metrics is objective and calculated as appropriate. Payout percentages for each NEO’s qualitative individual performance metric are determined by the Compensation Committee based on individual performance assessments, as discussed previously. </w:t>
      </w:r>
    </w:p>
    <w:p>
      <w:pPr>
        <w:pStyle w:val="TextBody"/>
        <w:bidi w:val="0"/>
        <w:spacing w:before="360" w:after="0"/>
        <w:jc w:val="left"/>
        <w:rPr>
          <w:rFonts w:ascii="Arial" w:hAnsi="Arial"/>
          <w:b/>
          <w:color w:val="191919"/>
          <w:sz w:val="18"/>
        </w:rPr>
      </w:pPr>
      <w:r>
        <w:rPr>
          <w:rFonts w:ascii="Arial" w:hAnsi="Arial"/>
          <w:b/>
          <w:color w:val="191919"/>
          <w:sz w:val="18"/>
        </w:rPr>
        <w:t xml:space="preserve">Fiscal 2026 AIP Payout Matrix and Performance Measurement </w:t>
      </w:r>
    </w:p>
    <w:p>
      <w:pPr>
        <w:pStyle w:val="TextBody"/>
        <w:bidi w:val="0"/>
        <w:spacing w:before="200" w:after="0"/>
        <w:jc w:val="left"/>
        <w:rPr>
          <w:rFonts w:ascii="Arial" w:hAnsi="Arial"/>
          <w:color w:val="191919"/>
          <w:sz w:val="18"/>
        </w:rPr>
      </w:pPr>
      <w:r>
        <w:rPr>
          <w:rFonts w:ascii="Arial" w:hAnsi="Arial"/>
          <w:b/>
          <w:i/>
          <w:color w:val="191919"/>
          <w:sz w:val="18"/>
        </w:rPr>
        <w:t>Payout Matrix</w:t>
      </w:r>
      <w:r>
        <w:rPr>
          <w:rFonts w:ascii="Arial" w:hAnsi="Arial"/>
          <w:color w:val="191919"/>
          <w:sz w:val="18"/>
        </w:rPr>
        <w:t xml:space="preserve">. The fiscal 2026 payout matrix established for all AIP metrics was 0% to 200% of the target award opportunity, which was unchanged from fiscal 2025. The actual AIP payout percentage is calculated by comparing actual financial metric performance against the established targets. Payouts for each of the financial metrics are calculated on a straight-line basis between the applicable performance levels (“threshold,” “target,” and “maximum”). </w:t>
      </w:r>
    </w:p>
    <w:p>
      <w:pPr>
        <w:pStyle w:val="TextBody"/>
        <w:bidi w:val="0"/>
        <w:spacing w:before="240" w:after="0"/>
        <w:jc w:val="left"/>
        <w:rPr>
          <w:rFonts w:ascii="Arial" w:hAnsi="Arial"/>
          <w:color w:val="191919"/>
          <w:sz w:val="18"/>
        </w:rPr>
      </w:pPr>
      <w:r>
        <w:rPr>
          <w:rFonts w:ascii="Arial" w:hAnsi="Arial"/>
          <w:b/>
          <w:i/>
          <w:color w:val="191919"/>
          <w:sz w:val="18"/>
        </w:rPr>
        <w:t>Target Setting</w:t>
      </w:r>
      <w:r>
        <w:rPr>
          <w:rFonts w:ascii="Arial" w:hAnsi="Arial"/>
          <w:color w:val="191919"/>
          <w:sz w:val="18"/>
        </w:rPr>
        <w:t xml:space="preserve">. In fiscal 2026, the Compensation Committee approved the setting of semi-annual targets for both our EBITDA and OCF financial metrics. The Compensation Committee believed this approach, which the Company used during the fiscal 2022-fiscal 2024 timeframe, was appropriate based on acute uncertainty in overall business conditions present at the start of the fiscal year. First fiscal half (“1H”) performance metric targets were established in early May 2025 (in the first quarter of fiscal 2026), and second fiscal half (“2H”) performance metric targets were established in mid-November 2025 (in the third quarter of fiscal 2026). </w:t>
      </w:r>
    </w:p>
    <w:p>
      <w:pPr>
        <w:pStyle w:val="TextBody"/>
        <w:bidi w:val="0"/>
        <w:spacing w:before="240" w:after="0"/>
        <w:jc w:val="left"/>
        <w:rPr>
          <w:rFonts w:ascii="Arial" w:hAnsi="Arial"/>
          <w:color w:val="191919"/>
          <w:sz w:val="18"/>
        </w:rPr>
      </w:pPr>
      <w:r>
        <w:rPr>
          <w:rFonts w:ascii="Arial" w:hAnsi="Arial"/>
          <w:b/>
          <w:i/>
          <w:color w:val="191919"/>
          <w:sz w:val="18"/>
        </w:rPr>
        <w:t>Financial Performance Adjustments</w:t>
      </w:r>
      <w:r>
        <w:rPr>
          <w:rFonts w:ascii="Arial" w:hAnsi="Arial"/>
          <w:color w:val="191919"/>
          <w:sz w:val="18"/>
        </w:rPr>
        <w:t xml:space="preserve">. For all financial metrics, the Compensation Committee may exercise its judgment, within parameters it establishes at the beginning of the year, about whether to exclude the effect of certain developments in measuring performance. These developments may include unanticipated changes in accounting principles or extraordinary, unusual, or unplanned events, such as the effects of restructurings, impairments, reorganizations, acquisitions, dispositions, or other strategic initiatives. </w:t>
      </w:r>
    </w:p>
    <w:p>
      <w:pPr>
        <w:pStyle w:val="TextBody"/>
        <w:bidi w:val="0"/>
        <w:spacing w:before="240" w:after="0"/>
        <w:jc w:val="left"/>
        <w:rPr>
          <w:rFonts w:ascii="Arial" w:hAnsi="Arial"/>
          <w:color w:val="191919"/>
          <w:sz w:val="18"/>
        </w:rPr>
      </w:pPr>
      <w:r>
        <w:rPr>
          <w:rFonts w:ascii="Arial" w:hAnsi="Arial"/>
          <w:color w:val="191919"/>
          <w:sz w:val="18"/>
        </w:rPr>
        <w:t xml:space="preserve">Any adjustments approved by the Compensation Committee in measuring financial metric performance are fully disclosed below. Concerning acquisitions in particular, the Compensation Committee has consistently applied a policy to exclude the impact of acquisitions consummated during a performance period on AIP financial metrics, ensuring AIP payouts never directly benefit from acquired, unbudgeted EBITDA and cash flow impacts. </w:t>
      </w:r>
    </w:p>
    <w:p>
      <w:pPr>
        <w:pStyle w:val="TextBody"/>
        <w:bidi w:val="0"/>
        <w:spacing w:before="240" w:after="0"/>
        <w:jc w:val="left"/>
        <w:rPr>
          <w:rFonts w:ascii="Arial" w:hAnsi="Arial"/>
          <w:color w:val="191919"/>
          <w:sz w:val="18"/>
        </w:rPr>
      </w:pPr>
      <w:r>
        <w:rPr>
          <w:rFonts w:ascii="Arial" w:hAnsi="Arial"/>
          <w:b/>
          <w:i/>
          <w:color w:val="191919"/>
          <w:sz w:val="18"/>
        </w:rPr>
        <w:t>Performance Measurement and Payout</w:t>
      </w:r>
      <w:r>
        <w:rPr>
          <w:rFonts w:ascii="Arial" w:hAnsi="Arial"/>
          <w:color w:val="191919"/>
          <w:sz w:val="18"/>
        </w:rPr>
        <w:t xml:space="preserve">. The following graphics show the fiscal 2026 AIP’s performance metrics, targets, payout matrixes, performance results, and percentage payouts.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2957830"/>
            <wp:effectExtent l="0" t="0" r="0" b="0"/>
            <wp:docPr id="319"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00" descr=""/>
                    <pic:cNvPicPr>
                      <a:picLocks noChangeAspect="1" noChangeArrowheads="1"/>
                    </pic:cNvPicPr>
                  </pic:nvPicPr>
                  <pic:blipFill>
                    <a:blip r:embed="rId302"/>
                    <a:stretch>
                      <a:fillRect/>
                    </a:stretch>
                  </pic:blipFill>
                  <pic:spPr bwMode="auto">
                    <a:xfrm>
                      <a:off x="0" y="0"/>
                      <a:ext cx="7772400" cy="2957830"/>
                    </a:xfrm>
                    <a:prstGeom prst="rect">
                      <a:avLst/>
                    </a:prstGeom>
                  </pic:spPr>
                </pic:pic>
              </a:graphicData>
            </a:graphic>
          </wp:inline>
        </w:drawing>
      </w:r>
      <w:r>
        <w:rPr/>
        <w:t xml:space="preserve">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20"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01" descr=""/>
                          <pic:cNvPicPr>
                            <a:picLocks noChangeAspect="1" noChangeArrowheads="1"/>
                          </pic:cNvPicPr>
                        </pic:nvPicPr>
                        <pic:blipFill>
                          <a:blip r:embed="rId30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47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In fiscal 2026, the Company delivered $249.5 million of EBITDA as measured under our AIP, a record performance and 13.5% increase over fiscal 2025. The EBITDA target for fiscal 2026 1H was a 26.7% increase over fiscal 2025 1H actual results, and the EBITDA target for fiscal 2026 2H was a 10.0% increase over fiscal 2025 2H actual results. Consistent with our objectives and historical approach to acquisitions, the fiscal 2026 measured performance excluded all EBITDA impacts from acquisitions consummated after targets are set for a measurement period, as well as all associated one-time transactional expenses. For fiscal 2026, the net EBITDA adjustments </w:t>
      </w:r>
      <w:r>
        <w:rPr>
          <w:rFonts w:ascii="Arial" w:hAnsi="Arial"/>
          <w:b/>
          <w:i/>
          <w:color w:val="191919"/>
          <w:sz w:val="18"/>
        </w:rPr>
        <w:t>reduced</w:t>
      </w:r>
      <w:r>
        <w:rPr>
          <w:rFonts w:ascii="Arial" w:hAnsi="Arial"/>
          <w:color w:val="191919"/>
          <w:sz w:val="18"/>
        </w:rPr>
        <w:t xml:space="preserve"> the AIP’s measured EBITDA by $20.1 million compared to reported EBITDA.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2957830"/>
            <wp:effectExtent l="0" t="0" r="0" b="0"/>
            <wp:docPr id="321"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02" descr=""/>
                    <pic:cNvPicPr>
                      <a:picLocks noChangeAspect="1" noChangeArrowheads="1"/>
                    </pic:cNvPicPr>
                  </pic:nvPicPr>
                  <pic:blipFill>
                    <a:blip r:embed="rId304"/>
                    <a:stretch>
                      <a:fillRect/>
                    </a:stretch>
                  </pic:blipFill>
                  <pic:spPr bwMode="auto">
                    <a:xfrm>
                      <a:off x="0" y="0"/>
                      <a:ext cx="7772400" cy="2957830"/>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In fiscal 2026, the Company delivered $204.9 million of OCF as measured under our AIP, a record performance and 22.5% increase over fiscal 2025. The OCF target for fiscal 2026 1H was a 4.6% increase over fiscal 2025 1H actual results, and the OCF target for fiscal 2026 2H was a 2.4% decrease from fiscal 2025 2H actual results. The fiscal 2026 measured performance excluded all operating cash impacts from acquisitions consummated after targets are set for a measurement period, as well as all cash used (net of tax benefit) to fund financing costs and one-time transactional expenses related to such acquisitions. For fiscal 2026, the net OCF adjustments increased the AIP’s measured OCF by $55.2 million compared to reported operating cash flow, which was primarily driven by the exclusion of the MARS Parts acquisition from fiscal 2026 2H results.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22"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03" descr=""/>
                          <pic:cNvPicPr>
                            <a:picLocks noChangeAspect="1" noChangeArrowheads="1"/>
                          </pic:cNvPicPr>
                        </pic:nvPicPr>
                        <pic:blipFill>
                          <a:blip r:embed="rId305"/>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2957830"/>
            <wp:effectExtent l="0" t="0" r="0" b="0"/>
            <wp:docPr id="323"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04" descr=""/>
                    <pic:cNvPicPr>
                      <a:picLocks noChangeAspect="1" noChangeArrowheads="1"/>
                    </pic:cNvPicPr>
                  </pic:nvPicPr>
                  <pic:blipFill>
                    <a:blip r:embed="rId306"/>
                    <a:stretch>
                      <a:fillRect/>
                    </a:stretch>
                  </pic:blipFill>
                  <pic:spPr bwMode="auto">
                    <a:xfrm>
                      <a:off x="0" y="0"/>
                      <a:ext cx="7772400" cy="2957830"/>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In fiscal 2026, the Company’s Contractor Solutions segment delivered $230.0 million of measured EBITDA, a record performance and 17.2% increase over the AIP’s fiscal 2025 results. These results are used in calculating Mr. Underwood’s business unit EBITDA metric payout percentage. Contractor Solutions’ EBITDA target for fiscal 2026 1H was a 35.7% increase over fiscal 2025 1H actual results, and the EBITDA target for fiscal 2026 2H was a 0.7% increase over fiscal 2025 2H actual results. As with the consolidated results, this measured performance excluded all EBITDA impacts from businesses acquired during a measurement period, as well as all one-time transactional expenses associated with the acquisitions. For fiscal 2026, the net business unit EBITDA adjustments reduced the AIP’s measured business unit EBITDA by $18.8 million compared to reported business unit EBITDA.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2957830"/>
            <wp:effectExtent l="0" t="0" r="0" b="0"/>
            <wp:docPr id="324"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5" descr=""/>
                    <pic:cNvPicPr>
                      <a:picLocks noChangeAspect="1" noChangeArrowheads="1"/>
                    </pic:cNvPicPr>
                  </pic:nvPicPr>
                  <pic:blipFill>
                    <a:blip r:embed="rId307"/>
                    <a:stretch>
                      <a:fillRect/>
                    </a:stretch>
                  </pic:blipFill>
                  <pic:spPr bwMode="auto">
                    <a:xfrm>
                      <a:off x="0" y="0"/>
                      <a:ext cx="7772400" cy="2957830"/>
                    </a:xfrm>
                    <a:prstGeom prst="rect">
                      <a:avLst/>
                    </a:prstGeom>
                  </pic:spPr>
                </pic:pic>
              </a:graphicData>
            </a:graphic>
          </wp:inline>
        </w:drawing>
      </w:r>
      <w:r>
        <w:rPr/>
        <w:t xml:space="preserve">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25"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6" descr=""/>
                          <pic:cNvPicPr>
                            <a:picLocks noChangeAspect="1" noChangeArrowheads="1"/>
                          </pic:cNvPicPr>
                        </pic:nvPicPr>
                        <pic:blipFill>
                          <a:blip r:embed="rId308"/>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3175000" cy="3905885"/>
                <wp:effectExtent l="0" t="0" r="0" b="0"/>
                <wp:wrapSquare wrapText="right"/>
                <wp:docPr id="326" name="Frame20"/>
                <a:graphic xmlns:a="http://schemas.openxmlformats.org/drawingml/2006/main">
                  <a:graphicData uri="http://schemas.microsoft.com/office/word/2010/wordprocessingShape">
                    <wps:wsp>
                      <wps:cNvSpPr txBox="1"/>
                      <wps:spPr>
                        <a:xfrm>
                          <a:off x="0" y="0"/>
                          <a:ext cx="3175000" cy="3905885"/>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While AIP results for any given year will vary, the Compensation Committee believes that appropriate performance target setting, when combined with strong Company and individual NEO performance, should result in AIP financial metric payouts that average close to target levels over a five-year period. For additional context, the following table summarizes the Company’s actual consolidated financial metric payout percentages under the AIP over the last five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67635" cy="2339340"/>
                                  <wp:effectExtent l="0" t="0" r="0" b="0"/>
                                  <wp:docPr id="32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7" descr=""/>
                                          <pic:cNvPicPr>
                                            <a:picLocks noChangeAspect="1" noChangeArrowheads="1"/>
                                          </pic:cNvPicPr>
                                        </pic:nvPicPr>
                                        <pic:blipFill>
                                          <a:blip r:embed="rId309"/>
                                          <a:stretch>
                                            <a:fillRect/>
                                          </a:stretch>
                                        </pic:blipFill>
                                        <pic:spPr bwMode="auto">
                                          <a:xfrm>
                                            <a:off x="0" y="0"/>
                                            <a:ext cx="2667635" cy="233934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7.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While AIP results for any given year will vary, the Compensation Committee believes that appropriate performance target setting, when combined with strong Company and individual NEO performance, should result in AIP financial metric payouts that average close to target levels over a five-year period. For additional context, the following table summarizes the Company’s actual consolidated financial metric payout percentages under the AIP over the last five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67635" cy="2339340"/>
                            <wp:effectExtent l="0" t="0" r="0" b="0"/>
                            <wp:docPr id="328"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7" descr=""/>
                                    <pic:cNvPicPr>
                                      <a:picLocks noChangeAspect="1" noChangeArrowheads="1"/>
                                    </pic:cNvPicPr>
                                  </pic:nvPicPr>
                                  <pic:blipFill>
                                    <a:blip r:embed="rId310"/>
                                    <a:stretch>
                                      <a:fillRect/>
                                    </a:stretch>
                                  </pic:blipFill>
                                  <pic:spPr bwMode="auto">
                                    <a:xfrm>
                                      <a:off x="0" y="0"/>
                                      <a:ext cx="2667635" cy="233934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3110230" cy="3175635"/>
                <wp:effectExtent l="0" t="0" r="0" b="0"/>
                <wp:wrapSquare wrapText="right"/>
                <wp:docPr id="329" name="Frame19"/>
                <a:graphic xmlns:a="http://schemas.openxmlformats.org/drawingml/2006/main">
                  <a:graphicData uri="http://schemas.microsoft.com/office/word/2010/wordprocessingShape">
                    <wps:wsp>
                      <wps:cNvSpPr txBox="1"/>
                      <wps:spPr>
                        <a:xfrm>
                          <a:off x="0" y="0"/>
                          <a:ext cx="3110230" cy="3175635"/>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These results are used in calculating Mr. Underwood’s business unit OCF metric payout percentage. The Company has chosen not to disclose the lower threshold, interim threshold, target, maximum, and measured performance data for Contractor Solutions’ OCF metric, as this metric corresponds to financial data that is not publicly disclosed and is used primarily to assess compensation. The Company believes that disclosing such information would cause competitive harm to the Company without adding meaningfully to the understanding of its business.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believes that all performance targets for all financial metrics used in our AIP are set at definitive, challenging, and objective levels that require significant effort and achievement by our NEOs for a target payout to occur. Despite the inherent challenges of establishing performance targets in fiscal 2026 due to continued uncertainty in overall business conditions, particularly in light of challenged end markets driven by multiple factors, including rapidly changing foreign policy, the imposition of new and increased tariffs, and increased macroeconomic volatility, the Compensation Committee believes the AIP target-setting approach used in fiscal 2026 ensured these intentions were met.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0.0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These results are used in calculating Mr. Underwood’s business unit OCF metric payout percentage. The Company has chosen not to disclose the lower threshold, interim threshold, target, maximum, and measured performance data for Contractor Solutions’ OCF metric, as this metric corresponds to financial data that is not publicly disclosed and is used primarily to assess compensation. The Company believes that disclosing such information would cause competitive harm to the Company without adding meaningfully to the understanding of its business.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believes that all performance targets for all financial metrics used in our AIP are set at definitive, challenging, and objective levels that require significant effort and achievement by our NEOs for a target payout to occur. Despite the inherent challenges of establishing performance targets in fiscal 2026 due to continued uncertainty in overall business conditions, particularly in light of challenged end markets driven by multiple factors, including rapidly changing foreign policy, the imposition of new and increased tariffs, and increased macroeconomic volatility, the Compensation Committee believes the AIP target-setting approach used in fiscal 2026 ensured these intentions were met.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191919"/>
          <w:sz w:val="21"/>
        </w:rPr>
      </w:pPr>
      <w:r>
        <w:rPr>
          <w:rFonts w:ascii="Arial" w:hAnsi="Arial"/>
          <w:b/>
          <w:color w:val="191919"/>
          <w:sz w:val="21"/>
        </w:rPr>
        <w:t xml:space="preserve">Individual Performance </w:t>
      </w:r>
    </w:p>
    <w:p>
      <w:pPr>
        <w:pStyle w:val="TextBody"/>
        <w:bidi w:val="0"/>
        <w:spacing w:before="240" w:after="0"/>
        <w:jc w:val="left"/>
        <w:rPr>
          <w:rFonts w:ascii="Arial" w:hAnsi="Arial"/>
          <w:color w:val="191919"/>
          <w:sz w:val="18"/>
        </w:rPr>
      </w:pPr>
      <w:r>
        <w:rPr>
          <w:rFonts w:ascii="Arial" w:hAnsi="Arial"/>
          <w:color w:val="191919"/>
          <w:sz w:val="18"/>
        </w:rPr>
        <w:t xml:space="preserve">In determining individual performance payouts for our NEOs, the Compensation Committee considered pre-established individual performance goals and objectives for each NEO, which addressed the following topics: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3110230" cy="1590675"/>
                <wp:effectExtent l="0" t="0" r="0" b="0"/>
                <wp:wrapSquare wrapText="right"/>
                <wp:docPr id="330" name="Frame21"/>
                <a:graphic xmlns:a="http://schemas.openxmlformats.org/drawingml/2006/main">
                  <a:graphicData uri="http://schemas.microsoft.com/office/word/2010/wordprocessingShape">
                    <wps:wsp>
                      <wps:cNvSpPr txBox="1"/>
                      <wps:spPr>
                        <a:xfrm>
                          <a:off x="0" y="0"/>
                          <a:ext cx="3110230" cy="1590675"/>
                        </a:xfrm>
                        <a:prstGeom prst="rect"/>
                        <a:solidFill>
                          <a:srgbClr val="FFFFFF"/>
                        </a:solidFill>
                      </wps:spPr>
                      <wps:txbx>
                        <w:txbxContent>
                          <w:tbl>
                            <w:tblPr>
                              <w:tblW w:w="9070" w:type="dxa"/>
                              <w:jc w:val="left"/>
                              <w:tblInd w:w="0" w:type="dxa"/>
                              <w:tblLayout w:type="fixed"/>
                              <w:tblCellMar>
                                <w:top w:w="0" w:type="dxa"/>
                                <w:left w:w="0" w:type="dxa"/>
                                <w:bottom w:w="0" w:type="dxa"/>
                                <w:right w:w="0" w:type="dxa"/>
                              </w:tblCellMar>
                            </w:tblPr>
                            <w:tblGrid>
                              <w:gridCol w:w="75"/>
                              <w:gridCol w:w="11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888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Achievement of the Company’s and business units’ performance against key financial metrics,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Execution of identified key growth initiatives and development of strategic growth capabilities, including successful execution of acquisitions and integration of acquired businesses;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876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Improvement in human capital management metrics, including talent development and employee retention;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070" w:type="dxa"/>
                        <w:jc w:val="left"/>
                        <w:tblInd w:w="0" w:type="dxa"/>
                        <w:tblLayout w:type="fixed"/>
                        <w:tblCellMar>
                          <w:top w:w="0" w:type="dxa"/>
                          <w:left w:w="0" w:type="dxa"/>
                          <w:bottom w:w="0" w:type="dxa"/>
                          <w:right w:w="0" w:type="dxa"/>
                        </w:tblCellMar>
                      </w:tblPr>
                      <w:tblGrid>
                        <w:gridCol w:w="75"/>
                        <w:gridCol w:w="11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888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Achievement of the Company’s and business units’ performance against key financial metrics,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Execution of identified key growth initiatives and development of strategic growth capabilities, including successful execution of acquisitions and integration of acquired businesses; </w:t>
                            </w:r>
                          </w:p>
                        </w:tc>
                      </w:tr>
                    </w:tbl>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75"/>
                        <w:gridCol w:w="11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876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Improvement in human capital management metrics, including talent development and employee retention;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3175000" cy="1590675"/>
                <wp:effectExtent l="0" t="0" r="0" b="0"/>
                <wp:wrapSquare wrapText="right"/>
                <wp:docPr id="331" name="Frame22"/>
                <a:graphic xmlns:a="http://schemas.openxmlformats.org/drawingml/2006/main">
                  <a:graphicData uri="http://schemas.microsoft.com/office/word/2010/wordprocessingShape">
                    <wps:wsp>
                      <wps:cNvSpPr txBox="1"/>
                      <wps:spPr>
                        <a:xfrm>
                          <a:off x="0" y="0"/>
                          <a:ext cx="3175000" cy="1590675"/>
                        </a:xfrm>
                        <a:prstGeom prst="rect"/>
                        <a:solidFill>
                          <a:srgbClr val="FFFFFF"/>
                        </a:solidFill>
                      </wps:spPr>
                      <wps:txbx>
                        <w:txbxContent>
                          <w:tbl>
                            <w:tblPr>
                              <w:tblW w:w="5755" w:type="dxa"/>
                              <w:jc w:val="left"/>
                              <w:tblInd w:w="0" w:type="dxa"/>
                              <w:tblLayout w:type="fixed"/>
                              <w:tblCellMar>
                                <w:top w:w="0" w:type="dxa"/>
                                <w:left w:w="0" w:type="dxa"/>
                                <w:bottom w:w="0" w:type="dxa"/>
                                <w:right w:w="0" w:type="dxa"/>
                              </w:tblCellMar>
                            </w:tblPr>
                            <w:tblGrid>
                              <w:gridCol w:w="75"/>
                              <w:gridCol w:w="11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55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Achievement of operational excellence and sustainability initiatives;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51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Successful management and mitigation of enterprise risks; and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681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Improvement in performance against key environmental, health, and safety metrics.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25.2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755" w:type="dxa"/>
                        <w:jc w:val="left"/>
                        <w:tblInd w:w="0" w:type="dxa"/>
                        <w:tblLayout w:type="fixed"/>
                        <w:tblCellMar>
                          <w:top w:w="0" w:type="dxa"/>
                          <w:left w:w="0" w:type="dxa"/>
                          <w:bottom w:w="0" w:type="dxa"/>
                          <w:right w:w="0" w:type="dxa"/>
                        </w:tblCellMar>
                      </w:tblPr>
                      <w:tblGrid>
                        <w:gridCol w:w="75"/>
                        <w:gridCol w:w="11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55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Achievement of operational excellence and sustainability initiatives;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51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Successful management and mitigation of enterprise risks; and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681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Improvement in performance against key environmental, health, and safety metrics.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Additionally, the Compensation Committee considered the leadership acumen demonstrated by each NEO in addressing the unique challenges of fiscal 2026, and how each NEO performed and delivered results in a manner consistent with our </w:t>
      </w:r>
      <w:r>
        <w:rPr>
          <w:rFonts w:ascii="Arial" w:hAnsi="Arial"/>
          <w:b/>
          <w:i/>
          <w:color w:val="191919"/>
          <w:sz w:val="18"/>
        </w:rPr>
        <w:t>ACT. RISE</w:t>
      </w:r>
      <w:r>
        <w:rPr>
          <w:rFonts w:ascii="Arial" w:hAnsi="Arial"/>
          <w:i/>
          <w:color w:val="191919"/>
          <w:sz w:val="18"/>
        </w:rPr>
        <w:t>.</w:t>
      </w:r>
      <w:r>
        <w:rPr>
          <w:rFonts w:ascii="Arial" w:hAnsi="Arial"/>
          <w:color w:val="191919"/>
          <w:sz w:val="18"/>
        </w:rPr>
        <w:t xml:space="preserve"> core values: </w:t>
      </w:r>
      <w:r>
        <w:rPr>
          <w:rFonts w:ascii="Arial" w:hAnsi="Arial"/>
          <w:b/>
          <w:i/>
          <w:color w:val="191919"/>
          <w:sz w:val="18"/>
        </w:rPr>
        <w:t>Accountability, Citizenship, Teamwork, Respect, Integrity, Stewardship, and Excellence</w:t>
      </w:r>
      <w:r>
        <w:rPr>
          <w:rFonts w:ascii="Arial" w:hAnsi="Arial"/>
          <w:color w:val="191919"/>
          <w:sz w:val="18"/>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The payout percentages for the 25%-weighted individual performance metric for each NEO are set forth in the final AIP payments table below. The total AIP award earned by each NEO for fiscal 2026 is reported in the “Summary Compensation Table” under the “Non-Equity Incentive Plan Compensation” column.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32"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8" descr=""/>
                          <pic:cNvPicPr>
                            <a:picLocks noChangeAspect="1" noChangeArrowheads="1"/>
                          </pic:cNvPicPr>
                        </pic:nvPicPr>
                        <pic:blipFill>
                          <a:blip r:embed="rId31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tbl>
      <w:tblPr>
        <w:tblW w:w="11185" w:type="dxa"/>
        <w:jc w:val="left"/>
        <w:tblInd w:w="0" w:type="dxa"/>
        <w:tblLayout w:type="fixed"/>
        <w:tblCellMar>
          <w:top w:w="0" w:type="dxa"/>
          <w:left w:w="0" w:type="dxa"/>
          <w:bottom w:w="0" w:type="dxa"/>
          <w:right w:w="0" w:type="dxa"/>
        </w:tblCellMar>
      </w:tblPr>
      <w:tblGrid>
        <w:gridCol w:w="965"/>
        <w:gridCol w:w="60"/>
        <w:gridCol w:w="157"/>
        <w:gridCol w:w="1063"/>
        <w:gridCol w:w="60"/>
        <w:gridCol w:w="60"/>
        <w:gridCol w:w="70"/>
        <w:gridCol w:w="1285"/>
        <w:gridCol w:w="60"/>
        <w:gridCol w:w="60"/>
        <w:gridCol w:w="65"/>
        <w:gridCol w:w="1290"/>
        <w:gridCol w:w="60"/>
        <w:gridCol w:w="60"/>
        <w:gridCol w:w="72"/>
        <w:gridCol w:w="1328"/>
        <w:gridCol w:w="60"/>
        <w:gridCol w:w="60"/>
        <w:gridCol w:w="67"/>
        <w:gridCol w:w="1333"/>
        <w:gridCol w:w="60"/>
        <w:gridCol w:w="60"/>
        <w:gridCol w:w="72"/>
        <w:gridCol w:w="1268"/>
        <w:gridCol w:w="60"/>
        <w:gridCol w:w="60"/>
        <w:gridCol w:w="60"/>
        <w:gridCol w:w="1235"/>
        <w:gridCol w:w="75"/>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5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2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Target</w:t>
              <w:br/>
              <w:t>AIP Award</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55"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Consolidated</w:t>
              <w:br/>
              <w:t>EBITDA</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55"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Consolidated</w:t>
              <w:br/>
              <w:t>Operating</w:t>
              <w:br/>
              <w:t>Cash Flow</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0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Business Unit</w:t>
              <w:br/>
              <w:t>EBITDA</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0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Business Unit</w:t>
              <w:br/>
              <w:t>Operating</w:t>
              <w:br/>
              <w:t>Cash Flow</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4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Individual</w:t>
              <w:br/>
              <w:t>Performance</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95"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FY2026</w:t>
            </w:r>
          </w:p>
          <w:p>
            <w:pPr>
              <w:pStyle w:val="TableContents"/>
              <w:bidi w:val="0"/>
              <w:spacing w:before="0" w:after="20"/>
              <w:jc w:val="center"/>
              <w:rPr>
                <w:rFonts w:ascii="Arial" w:hAnsi="Arial"/>
                <w:b/>
                <w:color w:val="191919"/>
                <w:sz w:val="16"/>
              </w:rPr>
            </w:pPr>
            <w:r>
              <w:rPr>
                <w:rFonts w:ascii="Arial" w:hAnsi="Arial"/>
                <w:b/>
                <w:color w:val="191919"/>
                <w:sz w:val="16"/>
              </w:rPr>
              <w:t>AIP Award</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lineRule="atLeast" w:line="220" w:before="0" w:after="0"/>
              <w:jc w:val="left"/>
              <w:rPr>
                <w:rFonts w:ascii="Arial" w:hAnsi="Arial"/>
                <w:b/>
                <w:color w:val="191919"/>
                <w:sz w:val="17"/>
              </w:rPr>
            </w:pPr>
            <w:r>
              <w:rPr>
                <w:rFonts w:ascii="Arial" w:hAnsi="Arial"/>
                <w:b/>
                <w:color w:val="191919"/>
                <w:sz w:val="17"/>
              </w:rPr>
              <w:t>Joseph B. Armes</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220" w:before="0" w:after="0"/>
              <w:jc w:val="left"/>
              <w:rPr>
                <w:rFonts w:ascii="Arial" w:hAnsi="Arial"/>
                <w:i/>
                <w:color w:val="191919"/>
                <w:sz w:val="16"/>
              </w:rPr>
            </w:pPr>
            <w:r>
              <w:rPr>
                <w:rFonts w:ascii="Arial" w:hAnsi="Arial"/>
                <w:i/>
                <w:color w:val="191919"/>
                <w:sz w:val="16"/>
              </w:rPr>
              <w:t>$</w:t>
            </w:r>
          </w:p>
        </w:tc>
        <w:tc>
          <w:tcPr>
            <w:tcW w:w="1063" w:type="dxa"/>
            <w:tcBorders/>
            <w:vAlign w:val="center"/>
          </w:tcPr>
          <w:p>
            <w:pPr>
              <w:pStyle w:val="TableContents"/>
              <w:bidi w:val="0"/>
              <w:spacing w:lineRule="atLeast" w:line="220" w:before="0" w:after="0"/>
              <w:jc w:val="right"/>
              <w:rPr>
                <w:rFonts w:ascii="Arial" w:hAnsi="Arial"/>
                <w:i/>
                <w:color w:val="191919"/>
                <w:sz w:val="16"/>
              </w:rPr>
            </w:pPr>
            <w:r>
              <w:rPr>
                <w:rFonts w:ascii="Arial" w:hAnsi="Arial"/>
                <w:i/>
                <w:color w:val="191919"/>
                <w:sz w:val="16"/>
              </w:rPr>
              <w:t>1,202,500</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color w:val="191919"/>
              </w:rPr>
            </w:pPr>
            <w:r>
              <w:rPr>
                <w:color w:val="191919"/>
              </w:rPr>
              <w:t> </w:t>
            </w:r>
          </w:p>
        </w:tc>
        <w:tc>
          <w:tcPr>
            <w:tcW w:w="1285"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$684,704</w:t>
              <w:br/>
            </w:r>
            <w:r>
              <w:rPr>
                <w:rFonts w:ascii="Arial" w:hAnsi="Arial"/>
                <w:i/>
                <w:color w:val="191919"/>
                <w:sz w:val="16"/>
              </w:rPr>
              <w:t>(94.9%</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lineRule="atLeast" w:line="220" w:before="0" w:after="0"/>
              <w:jc w:val="left"/>
              <w:rPr>
                <w:color w:val="191919"/>
              </w:rPr>
            </w:pPr>
            <w:r>
              <w:rPr>
                <w:color w:val="191919"/>
              </w:rPr>
              <w:t> </w:t>
            </w:r>
          </w:p>
        </w:tc>
        <w:tc>
          <w:tcPr>
            <w:tcW w:w="1290"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$286,616</w:t>
              <w:br/>
            </w:r>
            <w:r>
              <w:rPr>
                <w:rFonts w:ascii="Arial" w:hAnsi="Arial"/>
                <w:i/>
                <w:color w:val="191919"/>
                <w:sz w:val="16"/>
              </w:rPr>
              <w:t>(158.9%</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20" w:before="0" w:after="0"/>
              <w:jc w:val="left"/>
              <w:rPr>
                <w:color w:val="191919"/>
              </w:rPr>
            </w:pPr>
            <w:r>
              <w:rPr>
                <w:color w:val="191919"/>
              </w:rPr>
              <w:t> </w:t>
            </w:r>
          </w:p>
        </w:tc>
        <w:tc>
          <w:tcPr>
            <w:tcW w:w="1328" w:type="dxa"/>
            <w:tcBorders/>
            <w:vAlign w:val="center"/>
          </w:tcPr>
          <w:p>
            <w:pPr>
              <w:pStyle w:val="TableContents"/>
              <w:bidi w:val="0"/>
              <w:spacing w:lineRule="atLeast" w:line="220" w:before="0" w:after="0"/>
              <w:jc w:val="right"/>
              <w:rPr>
                <w:color w:val="191919"/>
              </w:rPr>
            </w:pPr>
            <w:r>
              <w:rPr>
                <w:color w:val="191919"/>
              </w:rPr>
              <w:t>—</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20" w:before="0" w:after="0"/>
              <w:jc w:val="left"/>
              <w:rPr>
                <w:color w:val="191919"/>
              </w:rPr>
            </w:pPr>
            <w:r>
              <w:rPr>
                <w:color w:val="191919"/>
              </w:rPr>
              <w:t> </w:t>
            </w:r>
          </w:p>
        </w:tc>
        <w:tc>
          <w:tcPr>
            <w:tcW w:w="1333" w:type="dxa"/>
            <w:tcBorders/>
            <w:vAlign w:val="center"/>
          </w:tcPr>
          <w:p>
            <w:pPr>
              <w:pStyle w:val="TableContents"/>
              <w:bidi w:val="0"/>
              <w:spacing w:lineRule="atLeast" w:line="220" w:before="0" w:after="0"/>
              <w:jc w:val="right"/>
              <w:rPr>
                <w:color w:val="191919"/>
              </w:rPr>
            </w:pPr>
            <w:r>
              <w:rPr>
                <w:color w:val="191919"/>
              </w:rPr>
              <w:t>—</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20" w:before="0" w:after="0"/>
              <w:jc w:val="left"/>
              <w:rPr>
                <w:color w:val="191919"/>
              </w:rPr>
            </w:pPr>
            <w:r>
              <w:rPr>
                <w:color w:val="191919"/>
              </w:rPr>
              <w:t> </w:t>
            </w:r>
          </w:p>
        </w:tc>
        <w:tc>
          <w:tcPr>
            <w:tcW w:w="1268"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$315,656</w:t>
              <w:br/>
            </w:r>
            <w:r>
              <w:rPr>
                <w:rFonts w:ascii="Arial" w:hAnsi="Arial"/>
                <w:i/>
                <w:color w:val="191919"/>
                <w:sz w:val="16"/>
              </w:rPr>
              <w:t>(105%</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1235" w:type="dxa"/>
            <w:tcBorders/>
            <w:vAlign w:val="center"/>
          </w:tcPr>
          <w:p>
            <w:pPr>
              <w:pStyle w:val="TableContents"/>
              <w:bidi w:val="0"/>
              <w:spacing w:lineRule="atLeast" w:line="220" w:before="0" w:after="0"/>
              <w:jc w:val="right"/>
              <w:rPr>
                <w:rFonts w:ascii="Arial" w:hAnsi="Arial"/>
                <w:color w:val="191919"/>
                <w:sz w:val="16"/>
              </w:rPr>
            </w:pPr>
            <w:r>
              <w:rPr>
                <w:rFonts w:ascii="Arial" w:hAnsi="Arial"/>
                <w:b/>
                <w:color w:val="191919"/>
                <w:sz w:val="16"/>
              </w:rPr>
              <w:t>$1,286,976</w:t>
              <w:br/>
            </w:r>
            <w:r>
              <w:rPr>
                <w:rFonts w:ascii="Arial" w:hAnsi="Arial"/>
                <w:b/>
                <w:i/>
                <w:color w:val="191919"/>
                <w:sz w:val="16"/>
              </w:rPr>
              <w:t>(107.0%</w:t>
            </w:r>
            <w:r>
              <w:rPr>
                <w:rFonts w:ascii="Arial" w:hAnsi="Arial"/>
                <w:color w:val="191919"/>
                <w:sz w:val="16"/>
              </w:rPr>
              <w:t> </w:t>
            </w:r>
            <w:r>
              <w:rPr>
                <w:rFonts w:ascii="Arial" w:hAnsi="Arial"/>
                <w:b/>
                <w:i/>
                <w:color w:val="191919"/>
                <w:sz w:val="16"/>
              </w:rPr>
              <w:t>Payout)</w:t>
            </w:r>
          </w:p>
        </w:tc>
        <w:tc>
          <w:tcPr>
            <w:tcW w:w="75" w:type="dxa"/>
            <w:tcBorders/>
            <w:vAlign w:val="center"/>
          </w:tcPr>
          <w:p>
            <w:pPr>
              <w:pStyle w:val="TableContents"/>
              <w:bidi w:val="0"/>
              <w:spacing w:lineRule="atLeast" w:line="220" w:before="0" w:after="0"/>
              <w:jc w:val="left"/>
              <w:rPr>
                <w:rFonts w:ascii="Arial" w:hAnsi="Arial"/>
                <w:color w:val="191919"/>
                <w:sz w:val="16"/>
              </w:rPr>
            </w:pPr>
            <w:r>
              <w:rPr>
                <w:rFonts w:ascii="Arial" w:hAnsi="Arial"/>
                <w:b/>
                <w:color w:val="191919"/>
                <w:sz w:val="16"/>
              </w:rPr>
              <w:br/>
            </w:r>
            <w:r>
              <w:rPr>
                <w:rFonts w:ascii="Arial" w:hAnsi="Arial"/>
                <w:color w:val="191919"/>
                <w:sz w:val="16"/>
              </w:rPr>
              <w:t> </w:t>
            </w:r>
          </w:p>
        </w:tc>
      </w:tr>
      <w:tr>
        <w:trPr/>
        <w:tc>
          <w:tcPr>
            <w:tcW w:w="965" w:type="dxa"/>
            <w:tcBorders/>
            <w:shd w:fill="EDEDED" w:val="clear"/>
            <w:vAlign w:val="center"/>
          </w:tcPr>
          <w:p>
            <w:pPr>
              <w:pStyle w:val="TableContents"/>
              <w:bidi w:val="0"/>
              <w:spacing w:lineRule="atLeast" w:line="220" w:before="0" w:after="0"/>
              <w:jc w:val="left"/>
              <w:rPr>
                <w:rFonts w:ascii="Arial" w:hAnsi="Arial"/>
                <w:b/>
                <w:color w:val="191919"/>
                <w:sz w:val="17"/>
              </w:rPr>
            </w:pPr>
            <w:r>
              <w:rPr>
                <w:rFonts w:ascii="Arial" w:hAnsi="Arial"/>
                <w:b/>
                <w:color w:val="191919"/>
                <w:sz w:val="17"/>
              </w:rPr>
              <w:t>James E. Perry</w:t>
            </w:r>
          </w:p>
        </w:tc>
        <w:tc>
          <w:tcPr>
            <w:tcW w:w="60" w:type="dxa"/>
            <w:tcBorders/>
            <w:shd w:fill="EDEDED" w:val="clear"/>
            <w:vAlign w:val="center"/>
          </w:tcPr>
          <w:p>
            <w:pPr>
              <w:pStyle w:val="TableContents"/>
              <w:bidi w:val="0"/>
              <w:spacing w:before="0" w:after="283"/>
              <w:jc w:val="left"/>
              <w:rPr/>
            </w:pPr>
            <w:r>
              <w:rPr/>
              <w:t> </w:t>
            </w:r>
          </w:p>
        </w:tc>
        <w:tc>
          <w:tcPr>
            <w:tcW w:w="157" w:type="dxa"/>
            <w:tcBorders/>
            <w:shd w:fill="EDEDED" w:val="clear"/>
            <w:vAlign w:val="center"/>
          </w:tcPr>
          <w:p>
            <w:pPr>
              <w:pStyle w:val="TableContents"/>
              <w:bidi w:val="0"/>
              <w:spacing w:lineRule="atLeast" w:line="220" w:before="0" w:after="0"/>
              <w:jc w:val="left"/>
              <w:rPr>
                <w:rFonts w:ascii="Arial" w:hAnsi="Arial"/>
                <w:i/>
                <w:color w:val="191919"/>
                <w:sz w:val="16"/>
              </w:rPr>
            </w:pPr>
            <w:r>
              <w:rPr>
                <w:rFonts w:ascii="Arial" w:hAnsi="Arial"/>
                <w:i/>
                <w:color w:val="191919"/>
                <w:sz w:val="16"/>
              </w:rPr>
              <w:t>$</w:t>
            </w:r>
          </w:p>
        </w:tc>
        <w:tc>
          <w:tcPr>
            <w:tcW w:w="1063" w:type="dxa"/>
            <w:tcBorders/>
            <w:shd w:fill="EDEDED" w:val="clear"/>
            <w:vAlign w:val="center"/>
          </w:tcPr>
          <w:p>
            <w:pPr>
              <w:pStyle w:val="TableContents"/>
              <w:bidi w:val="0"/>
              <w:spacing w:lineRule="atLeast" w:line="220" w:before="0" w:after="0"/>
              <w:jc w:val="right"/>
              <w:rPr>
                <w:rFonts w:ascii="Arial" w:hAnsi="Arial"/>
                <w:i/>
                <w:color w:val="191919"/>
                <w:sz w:val="16"/>
              </w:rPr>
            </w:pPr>
            <w:r>
              <w:rPr>
                <w:rFonts w:ascii="Arial" w:hAnsi="Arial"/>
                <w:i/>
                <w:color w:val="191919"/>
                <w:sz w:val="16"/>
              </w:rPr>
              <w:t>390,000</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7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8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$222,066</w:t>
              <w:br/>
            </w:r>
            <w:r>
              <w:rPr>
                <w:rFonts w:ascii="Arial" w:hAnsi="Arial"/>
                <w:i/>
                <w:color w:val="191919"/>
                <w:sz w:val="16"/>
              </w:rPr>
              <w:t>(94.9%</w:t>
            </w:r>
            <w:r>
              <w:rPr>
                <w:rFonts w:ascii="Arial" w:hAnsi="Arial"/>
                <w:color w:val="191919"/>
                <w:sz w:val="16"/>
              </w:rPr>
              <w:t> </w:t>
            </w:r>
            <w:r>
              <w:rPr>
                <w:rFonts w:ascii="Arial" w:hAnsi="Arial"/>
                <w:i/>
                <w:color w:val="191919"/>
                <w:sz w:val="16"/>
              </w:rPr>
              <w:t>Payout)</w:t>
            </w:r>
          </w:p>
        </w:tc>
        <w:tc>
          <w:tcPr>
            <w:tcW w:w="60"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shd w:fill="EDEDED" w:val="clear"/>
            <w:vAlign w:val="center"/>
          </w:tcPr>
          <w:p>
            <w:pPr>
              <w:pStyle w:val="TableContents"/>
              <w:bidi w:val="0"/>
              <w:spacing w:before="0" w:after="283"/>
              <w:jc w:val="left"/>
              <w:rPr/>
            </w:pPr>
            <w:r>
              <w:rPr/>
              <w:t> </w:t>
            </w:r>
          </w:p>
        </w:tc>
        <w:tc>
          <w:tcPr>
            <w:tcW w:w="65"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90"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$92,957</w:t>
              <w:br/>
            </w:r>
            <w:r>
              <w:rPr>
                <w:rFonts w:ascii="Arial" w:hAnsi="Arial"/>
                <w:i/>
                <w:color w:val="191919"/>
                <w:sz w:val="16"/>
              </w:rPr>
              <w:t>(158.9%</w:t>
            </w:r>
            <w:r>
              <w:rPr>
                <w:rFonts w:ascii="Arial" w:hAnsi="Arial"/>
                <w:color w:val="191919"/>
                <w:sz w:val="16"/>
              </w:rPr>
              <w:t> </w:t>
            </w:r>
            <w:r>
              <w:rPr>
                <w:rFonts w:ascii="Arial" w:hAnsi="Arial"/>
                <w:i/>
                <w:color w:val="191919"/>
                <w:sz w:val="16"/>
              </w:rPr>
              <w:t>Payout)</w:t>
            </w:r>
          </w:p>
        </w:tc>
        <w:tc>
          <w:tcPr>
            <w:tcW w:w="60"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328" w:type="dxa"/>
            <w:tcBorders/>
            <w:shd w:fill="EDEDED" w:val="clear"/>
            <w:vAlign w:val="center"/>
          </w:tcPr>
          <w:p>
            <w:pPr>
              <w:pStyle w:val="TableContents"/>
              <w:bidi w:val="0"/>
              <w:spacing w:lineRule="atLeast" w:line="220" w:before="0" w:after="0"/>
              <w:jc w:val="right"/>
              <w:rPr>
                <w:color w:val="191919"/>
              </w:rPr>
            </w:pPr>
            <w:r>
              <w:rPr>
                <w:color w:val="191919"/>
              </w:rPr>
              <w:t>—</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7"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333" w:type="dxa"/>
            <w:tcBorders/>
            <w:shd w:fill="EDEDED" w:val="clear"/>
            <w:vAlign w:val="center"/>
          </w:tcPr>
          <w:p>
            <w:pPr>
              <w:pStyle w:val="TableContents"/>
              <w:bidi w:val="0"/>
              <w:spacing w:lineRule="atLeast" w:line="220" w:before="0" w:after="0"/>
              <w:jc w:val="right"/>
              <w:rPr>
                <w:color w:val="191919"/>
              </w:rPr>
            </w:pPr>
            <w:r>
              <w:rPr>
                <w:color w:val="191919"/>
              </w:rPr>
              <w:t>—</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68"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$102,375</w:t>
              <w:br/>
            </w:r>
            <w:r>
              <w:rPr>
                <w:rFonts w:ascii="Arial" w:hAnsi="Arial"/>
                <w:i/>
                <w:color w:val="191919"/>
                <w:sz w:val="16"/>
              </w:rPr>
              <w:t>(105%</w:t>
            </w:r>
            <w:r>
              <w:rPr>
                <w:rFonts w:ascii="Arial" w:hAnsi="Arial"/>
                <w:color w:val="191919"/>
                <w:sz w:val="16"/>
              </w:rPr>
              <w:t> </w:t>
            </w:r>
            <w:r>
              <w:rPr>
                <w:rFonts w:ascii="Arial" w:hAnsi="Arial"/>
                <w:i/>
                <w:color w:val="191919"/>
                <w:sz w:val="16"/>
              </w:rPr>
              <w:t>Payout)</w:t>
            </w:r>
          </w:p>
        </w:tc>
        <w:tc>
          <w:tcPr>
            <w:tcW w:w="60"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3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b/>
                <w:color w:val="191919"/>
                <w:sz w:val="16"/>
              </w:rPr>
              <w:t>$417,398</w:t>
              <w:br/>
            </w:r>
            <w:r>
              <w:rPr>
                <w:rFonts w:ascii="Arial" w:hAnsi="Arial"/>
                <w:b/>
                <w:i/>
                <w:color w:val="191919"/>
                <w:sz w:val="16"/>
              </w:rPr>
              <w:t>(107.0%</w:t>
            </w:r>
            <w:r>
              <w:rPr>
                <w:rFonts w:ascii="Arial" w:hAnsi="Arial"/>
                <w:color w:val="191919"/>
                <w:sz w:val="16"/>
              </w:rPr>
              <w:t> </w:t>
            </w:r>
            <w:r>
              <w:rPr>
                <w:rFonts w:ascii="Arial" w:hAnsi="Arial"/>
                <w:b/>
                <w:i/>
                <w:color w:val="191919"/>
                <w:sz w:val="16"/>
              </w:rPr>
              <w:t>Payout)</w:t>
            </w:r>
          </w:p>
        </w:tc>
        <w:tc>
          <w:tcPr>
            <w:tcW w:w="75"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b/>
                <w:color w:val="191919"/>
                <w:sz w:val="16"/>
              </w:rPr>
              <w:br/>
            </w:r>
            <w:r>
              <w:rPr>
                <w:rFonts w:ascii="Arial" w:hAnsi="Arial"/>
                <w:color w:val="191919"/>
                <w:sz w:val="16"/>
              </w:rPr>
              <w:t> </w:t>
            </w:r>
          </w:p>
        </w:tc>
      </w:tr>
      <w:tr>
        <w:trPr/>
        <w:tc>
          <w:tcPr>
            <w:tcW w:w="965" w:type="dxa"/>
            <w:tcBorders/>
            <w:vAlign w:val="center"/>
          </w:tcPr>
          <w:p>
            <w:pPr>
              <w:pStyle w:val="TableContents"/>
              <w:bidi w:val="0"/>
              <w:spacing w:lineRule="atLeast" w:line="220" w:before="0" w:after="0"/>
              <w:jc w:val="left"/>
              <w:rPr>
                <w:rFonts w:ascii="Arial" w:hAnsi="Arial"/>
                <w:b/>
                <w:color w:val="191919"/>
                <w:sz w:val="17"/>
              </w:rPr>
            </w:pPr>
            <w:r>
              <w:rPr>
                <w:rFonts w:ascii="Arial" w:hAnsi="Arial"/>
                <w:b/>
                <w:color w:val="191919"/>
                <w:sz w:val="17"/>
              </w:rPr>
              <w:t>Jeff A. Underwood</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tLeast" w:line="220" w:before="0" w:after="0"/>
              <w:jc w:val="left"/>
              <w:rPr>
                <w:rFonts w:ascii="Arial" w:hAnsi="Arial"/>
                <w:i/>
                <w:color w:val="191919"/>
                <w:sz w:val="16"/>
              </w:rPr>
            </w:pPr>
            <w:r>
              <w:rPr>
                <w:rFonts w:ascii="Arial" w:hAnsi="Arial"/>
                <w:i/>
                <w:color w:val="191919"/>
                <w:sz w:val="16"/>
              </w:rPr>
              <w:t>$</w:t>
            </w:r>
          </w:p>
        </w:tc>
        <w:tc>
          <w:tcPr>
            <w:tcW w:w="1063" w:type="dxa"/>
            <w:tcBorders/>
            <w:vAlign w:val="center"/>
          </w:tcPr>
          <w:p>
            <w:pPr>
              <w:pStyle w:val="TableContents"/>
              <w:bidi w:val="0"/>
              <w:spacing w:lineRule="atLeast" w:line="220" w:before="0" w:after="0"/>
              <w:jc w:val="right"/>
              <w:rPr>
                <w:rFonts w:ascii="Arial" w:hAnsi="Arial"/>
                <w:i/>
                <w:color w:val="191919"/>
                <w:sz w:val="16"/>
              </w:rPr>
            </w:pPr>
            <w:r>
              <w:rPr>
                <w:rFonts w:ascii="Arial" w:hAnsi="Arial"/>
                <w:i/>
                <w:color w:val="191919"/>
                <w:sz w:val="16"/>
              </w:rPr>
              <w:t>286,000</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lineRule="atLeast" w:line="220" w:before="0" w:after="0"/>
              <w:jc w:val="left"/>
              <w:rPr>
                <w:color w:val="191919"/>
              </w:rPr>
            </w:pPr>
            <w:r>
              <w:rPr>
                <w:color w:val="191919"/>
              </w:rPr>
              <w:t> </w:t>
            </w:r>
          </w:p>
        </w:tc>
        <w:tc>
          <w:tcPr>
            <w:tcW w:w="1285"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$94,995</w:t>
              <w:br/>
            </w:r>
            <w:r>
              <w:rPr>
                <w:rFonts w:ascii="Arial" w:hAnsi="Arial"/>
                <w:i/>
                <w:color w:val="191919"/>
                <w:sz w:val="16"/>
              </w:rPr>
              <w:t>(94.9%</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lineRule="atLeast" w:line="220" w:before="0" w:after="0"/>
              <w:jc w:val="left"/>
              <w:rPr>
                <w:color w:val="191919"/>
              </w:rPr>
            </w:pPr>
            <w:r>
              <w:rPr>
                <w:color w:val="191919"/>
              </w:rPr>
              <w:t> </w:t>
            </w:r>
          </w:p>
        </w:tc>
        <w:tc>
          <w:tcPr>
            <w:tcW w:w="1290"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$45,445</w:t>
              <w:br/>
            </w:r>
            <w:r>
              <w:rPr>
                <w:rFonts w:ascii="Arial" w:hAnsi="Arial"/>
                <w:i/>
                <w:color w:val="191919"/>
                <w:sz w:val="16"/>
              </w:rPr>
              <w:t>(158.9%</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20" w:before="0" w:after="0"/>
              <w:jc w:val="left"/>
              <w:rPr>
                <w:color w:val="191919"/>
              </w:rPr>
            </w:pPr>
            <w:r>
              <w:rPr>
                <w:color w:val="191919"/>
              </w:rPr>
              <w:t> </w:t>
            </w:r>
          </w:p>
        </w:tc>
        <w:tc>
          <w:tcPr>
            <w:tcW w:w="1328"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$55,255</w:t>
              <w:br/>
            </w:r>
            <w:r>
              <w:rPr>
                <w:rFonts w:ascii="Arial" w:hAnsi="Arial"/>
                <w:i/>
                <w:color w:val="191919"/>
                <w:sz w:val="16"/>
              </w:rPr>
              <w:t>(96.6%</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20" w:before="0" w:after="0"/>
              <w:jc w:val="left"/>
              <w:rPr>
                <w:color w:val="191919"/>
              </w:rPr>
            </w:pPr>
            <w:r>
              <w:rPr>
                <w:color w:val="191919"/>
              </w:rPr>
              <w:t> </w:t>
            </w:r>
          </w:p>
        </w:tc>
        <w:tc>
          <w:tcPr>
            <w:tcW w:w="1333"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$42,042</w:t>
              <w:br/>
            </w:r>
            <w:r>
              <w:rPr>
                <w:rFonts w:ascii="Arial" w:hAnsi="Arial"/>
                <w:i/>
                <w:color w:val="191919"/>
                <w:sz w:val="16"/>
              </w:rPr>
              <w:t>(147.0%</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20" w:before="0" w:after="0"/>
              <w:jc w:val="left"/>
              <w:rPr>
                <w:color w:val="191919"/>
              </w:rPr>
            </w:pPr>
            <w:r>
              <w:rPr>
                <w:color w:val="191919"/>
              </w:rPr>
              <w:t> </w:t>
            </w:r>
          </w:p>
        </w:tc>
        <w:tc>
          <w:tcPr>
            <w:tcW w:w="1268"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$82,225</w:t>
              <w:br/>
            </w:r>
            <w:r>
              <w:rPr>
                <w:rFonts w:ascii="Arial" w:hAnsi="Arial"/>
                <w:i/>
                <w:color w:val="191919"/>
                <w:sz w:val="16"/>
              </w:rPr>
              <w:t>(115%</w:t>
            </w:r>
            <w:r>
              <w:rPr>
                <w:rFonts w:ascii="Arial" w:hAnsi="Arial"/>
                <w:color w:val="191919"/>
                <w:sz w:val="16"/>
              </w:rPr>
              <w:t> </w:t>
            </w:r>
            <w:r>
              <w:rPr>
                <w:rFonts w:ascii="Arial" w:hAnsi="Arial"/>
                <w:i/>
                <w:color w:val="191919"/>
                <w:sz w:val="16"/>
              </w:rPr>
              <w:t>Payout)</w:t>
            </w:r>
          </w:p>
        </w:tc>
        <w:tc>
          <w:tcPr>
            <w:tcW w:w="60" w:type="dxa"/>
            <w:tcBorders/>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1235" w:type="dxa"/>
            <w:tcBorders/>
            <w:vAlign w:val="center"/>
          </w:tcPr>
          <w:p>
            <w:pPr>
              <w:pStyle w:val="TableContents"/>
              <w:bidi w:val="0"/>
              <w:spacing w:lineRule="atLeast" w:line="220" w:before="0" w:after="0"/>
              <w:jc w:val="right"/>
              <w:rPr>
                <w:rFonts w:ascii="Arial" w:hAnsi="Arial"/>
                <w:color w:val="191919"/>
                <w:sz w:val="16"/>
              </w:rPr>
            </w:pPr>
            <w:r>
              <w:rPr>
                <w:rFonts w:ascii="Arial" w:hAnsi="Arial"/>
                <w:b/>
                <w:color w:val="191919"/>
                <w:sz w:val="16"/>
              </w:rPr>
              <w:t>$319,963</w:t>
              <w:br/>
            </w:r>
            <w:r>
              <w:rPr>
                <w:rFonts w:ascii="Arial" w:hAnsi="Arial"/>
                <w:b/>
                <w:i/>
                <w:color w:val="191919"/>
                <w:sz w:val="16"/>
              </w:rPr>
              <w:t>(111.9% Payout)</w:t>
            </w:r>
          </w:p>
        </w:tc>
        <w:tc>
          <w:tcPr>
            <w:tcW w:w="75" w:type="dxa"/>
            <w:tcBorders/>
            <w:vAlign w:val="center"/>
          </w:tcPr>
          <w:p>
            <w:pPr>
              <w:pStyle w:val="TableContents"/>
              <w:bidi w:val="0"/>
              <w:spacing w:lineRule="atLeast" w:line="220" w:before="0" w:after="0"/>
              <w:jc w:val="left"/>
              <w:rPr>
                <w:rFonts w:ascii="Arial" w:hAnsi="Arial"/>
                <w:color w:val="191919"/>
                <w:sz w:val="16"/>
              </w:rPr>
            </w:pPr>
            <w:r>
              <w:rPr>
                <w:rFonts w:ascii="Arial" w:hAnsi="Arial"/>
                <w:b/>
                <w:color w:val="191919"/>
                <w:sz w:val="16"/>
              </w:rPr>
              <w:br/>
            </w:r>
            <w:r>
              <w:rPr>
                <w:rFonts w:ascii="Arial" w:hAnsi="Arial"/>
                <w:color w:val="191919"/>
                <w:sz w:val="16"/>
              </w:rPr>
              <w:t> </w:t>
            </w:r>
          </w:p>
        </w:tc>
      </w:tr>
      <w:tr>
        <w:trPr/>
        <w:tc>
          <w:tcPr>
            <w:tcW w:w="965" w:type="dxa"/>
            <w:tcBorders/>
            <w:shd w:fill="EDEDED" w:val="clear"/>
            <w:vAlign w:val="center"/>
          </w:tcPr>
          <w:p>
            <w:pPr>
              <w:pStyle w:val="TableContents"/>
              <w:bidi w:val="0"/>
              <w:spacing w:lineRule="atLeast" w:line="220" w:before="0" w:after="0"/>
              <w:jc w:val="left"/>
              <w:rPr>
                <w:rFonts w:ascii="Arial" w:hAnsi="Arial"/>
                <w:b/>
                <w:color w:val="191919"/>
                <w:sz w:val="17"/>
              </w:rPr>
            </w:pPr>
            <w:r>
              <w:rPr>
                <w:rFonts w:ascii="Arial" w:hAnsi="Arial"/>
                <w:b/>
                <w:color w:val="191919"/>
                <w:sz w:val="17"/>
              </w:rPr>
              <w:t>Luke E. Alverson</w:t>
            </w:r>
          </w:p>
        </w:tc>
        <w:tc>
          <w:tcPr>
            <w:tcW w:w="60" w:type="dxa"/>
            <w:tcBorders/>
            <w:shd w:fill="EDEDED" w:val="clear"/>
            <w:vAlign w:val="center"/>
          </w:tcPr>
          <w:p>
            <w:pPr>
              <w:pStyle w:val="TableContents"/>
              <w:bidi w:val="0"/>
              <w:spacing w:before="0" w:after="283"/>
              <w:jc w:val="left"/>
              <w:rPr/>
            </w:pPr>
            <w:r>
              <w:rPr/>
              <w:t> </w:t>
            </w:r>
          </w:p>
        </w:tc>
        <w:tc>
          <w:tcPr>
            <w:tcW w:w="157" w:type="dxa"/>
            <w:tcBorders/>
            <w:shd w:fill="EDEDED" w:val="clear"/>
            <w:vAlign w:val="center"/>
          </w:tcPr>
          <w:p>
            <w:pPr>
              <w:pStyle w:val="TableContents"/>
              <w:bidi w:val="0"/>
              <w:spacing w:lineRule="atLeast" w:line="220" w:before="0" w:after="0"/>
              <w:jc w:val="left"/>
              <w:rPr>
                <w:rFonts w:ascii="Arial" w:hAnsi="Arial"/>
                <w:i/>
                <w:color w:val="191919"/>
                <w:sz w:val="16"/>
              </w:rPr>
            </w:pPr>
            <w:r>
              <w:rPr>
                <w:rFonts w:ascii="Arial" w:hAnsi="Arial"/>
                <w:i/>
                <w:color w:val="191919"/>
                <w:sz w:val="16"/>
              </w:rPr>
              <w:t>$</w:t>
            </w:r>
          </w:p>
        </w:tc>
        <w:tc>
          <w:tcPr>
            <w:tcW w:w="1063" w:type="dxa"/>
            <w:tcBorders/>
            <w:shd w:fill="EDEDED" w:val="clear"/>
            <w:vAlign w:val="center"/>
          </w:tcPr>
          <w:p>
            <w:pPr>
              <w:pStyle w:val="TableContents"/>
              <w:bidi w:val="0"/>
              <w:spacing w:lineRule="atLeast" w:line="220" w:before="0" w:after="0"/>
              <w:jc w:val="right"/>
              <w:rPr>
                <w:rFonts w:ascii="Arial" w:hAnsi="Arial"/>
                <w:i/>
                <w:color w:val="191919"/>
                <w:sz w:val="16"/>
              </w:rPr>
            </w:pPr>
            <w:r>
              <w:rPr>
                <w:rFonts w:ascii="Arial" w:hAnsi="Arial"/>
                <w:i/>
                <w:color w:val="191919"/>
                <w:sz w:val="16"/>
              </w:rPr>
              <w:t>242,000</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7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8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$137,795</w:t>
              <w:br/>
            </w:r>
            <w:r>
              <w:rPr>
                <w:rFonts w:ascii="Arial" w:hAnsi="Arial"/>
                <w:i/>
                <w:color w:val="191919"/>
                <w:sz w:val="16"/>
              </w:rPr>
              <w:t>(94.9%</w:t>
            </w:r>
            <w:r>
              <w:rPr>
                <w:rFonts w:ascii="Arial" w:hAnsi="Arial"/>
                <w:color w:val="191919"/>
                <w:sz w:val="16"/>
              </w:rPr>
              <w:t> </w:t>
            </w:r>
            <w:r>
              <w:rPr>
                <w:rFonts w:ascii="Arial" w:hAnsi="Arial"/>
                <w:i/>
                <w:color w:val="191919"/>
                <w:sz w:val="16"/>
              </w:rPr>
              <w:t>Payout)</w:t>
            </w:r>
          </w:p>
        </w:tc>
        <w:tc>
          <w:tcPr>
            <w:tcW w:w="60"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shd w:fill="EDEDED" w:val="clear"/>
            <w:vAlign w:val="center"/>
          </w:tcPr>
          <w:p>
            <w:pPr>
              <w:pStyle w:val="TableContents"/>
              <w:bidi w:val="0"/>
              <w:spacing w:before="0" w:after="283"/>
              <w:jc w:val="left"/>
              <w:rPr/>
            </w:pPr>
            <w:r>
              <w:rPr/>
              <w:t> </w:t>
            </w:r>
          </w:p>
        </w:tc>
        <w:tc>
          <w:tcPr>
            <w:tcW w:w="65"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90"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$57,681</w:t>
              <w:br/>
            </w:r>
            <w:r>
              <w:rPr>
                <w:rFonts w:ascii="Arial" w:hAnsi="Arial"/>
                <w:i/>
                <w:color w:val="191919"/>
                <w:sz w:val="16"/>
              </w:rPr>
              <w:t>(158.9%</w:t>
            </w:r>
            <w:r>
              <w:rPr>
                <w:rFonts w:ascii="Arial" w:hAnsi="Arial"/>
                <w:color w:val="191919"/>
                <w:sz w:val="16"/>
              </w:rPr>
              <w:t> </w:t>
            </w:r>
            <w:r>
              <w:rPr>
                <w:rFonts w:ascii="Arial" w:hAnsi="Arial"/>
                <w:i/>
                <w:color w:val="191919"/>
                <w:sz w:val="16"/>
              </w:rPr>
              <w:t>Payout)</w:t>
            </w:r>
          </w:p>
        </w:tc>
        <w:tc>
          <w:tcPr>
            <w:tcW w:w="60"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328" w:type="dxa"/>
            <w:tcBorders/>
            <w:shd w:fill="EDEDED" w:val="clear"/>
            <w:vAlign w:val="center"/>
          </w:tcPr>
          <w:p>
            <w:pPr>
              <w:pStyle w:val="TableContents"/>
              <w:bidi w:val="0"/>
              <w:spacing w:lineRule="atLeast" w:line="220" w:before="0" w:after="0"/>
              <w:jc w:val="right"/>
              <w:rPr>
                <w:color w:val="191919"/>
              </w:rPr>
            </w:pPr>
            <w:r>
              <w:rPr>
                <w:color w:val="191919"/>
              </w:rPr>
              <w:t>—</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7"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333" w:type="dxa"/>
            <w:tcBorders/>
            <w:shd w:fill="EDEDED" w:val="clear"/>
            <w:vAlign w:val="center"/>
          </w:tcPr>
          <w:p>
            <w:pPr>
              <w:pStyle w:val="TableContents"/>
              <w:bidi w:val="0"/>
              <w:spacing w:lineRule="atLeast" w:line="220" w:before="0" w:after="0"/>
              <w:jc w:val="right"/>
              <w:rPr>
                <w:color w:val="191919"/>
              </w:rPr>
            </w:pPr>
            <w:r>
              <w:rPr>
                <w:color w:val="191919"/>
              </w:rPr>
              <w:t>—</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68"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$63,535</w:t>
              <w:br/>
            </w:r>
            <w:r>
              <w:rPr>
                <w:rFonts w:ascii="Arial" w:hAnsi="Arial"/>
                <w:i/>
                <w:color w:val="191919"/>
                <w:sz w:val="16"/>
              </w:rPr>
              <w:t>(105%</w:t>
            </w:r>
            <w:r>
              <w:rPr>
                <w:rFonts w:ascii="Arial" w:hAnsi="Arial"/>
                <w:color w:val="191919"/>
                <w:sz w:val="16"/>
              </w:rPr>
              <w:t> </w:t>
            </w:r>
            <w:r>
              <w:rPr>
                <w:rFonts w:ascii="Arial" w:hAnsi="Arial"/>
                <w:i/>
                <w:color w:val="191919"/>
                <w:sz w:val="16"/>
              </w:rPr>
              <w:t>Payout)</w:t>
            </w:r>
          </w:p>
        </w:tc>
        <w:tc>
          <w:tcPr>
            <w:tcW w:w="60"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3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b/>
                <w:color w:val="191919"/>
                <w:sz w:val="16"/>
              </w:rPr>
              <w:t>$259,001</w:t>
              <w:br/>
            </w:r>
            <w:r>
              <w:rPr>
                <w:rFonts w:ascii="Arial" w:hAnsi="Arial"/>
                <w:b/>
                <w:i/>
                <w:color w:val="191919"/>
                <w:sz w:val="16"/>
              </w:rPr>
              <w:t>(107.0%</w:t>
            </w:r>
            <w:r>
              <w:rPr>
                <w:rFonts w:ascii="Arial" w:hAnsi="Arial"/>
                <w:color w:val="191919"/>
                <w:sz w:val="16"/>
              </w:rPr>
              <w:t> </w:t>
            </w:r>
            <w:r>
              <w:rPr>
                <w:rFonts w:ascii="Arial" w:hAnsi="Arial"/>
                <w:b/>
                <w:i/>
                <w:color w:val="191919"/>
                <w:sz w:val="16"/>
              </w:rPr>
              <w:t>Payout)</w:t>
            </w:r>
          </w:p>
        </w:tc>
        <w:tc>
          <w:tcPr>
            <w:tcW w:w="75" w:type="dxa"/>
            <w:tcBorders/>
            <w:shd w:fill="EDEDED" w:val="clear"/>
            <w:vAlign w:val="center"/>
          </w:tcPr>
          <w:p>
            <w:pPr>
              <w:pStyle w:val="TableContents"/>
              <w:bidi w:val="0"/>
              <w:spacing w:lineRule="atLeast" w:line="220" w:before="0" w:after="0"/>
              <w:jc w:val="left"/>
              <w:rPr>
                <w:rFonts w:ascii="Arial" w:hAnsi="Arial"/>
                <w:color w:val="191919"/>
                <w:sz w:val="16"/>
              </w:rPr>
            </w:pPr>
            <w:r>
              <w:rPr>
                <w:rFonts w:ascii="Arial" w:hAnsi="Arial"/>
                <w:b/>
                <w:color w:val="191919"/>
                <w:sz w:val="16"/>
              </w:rPr>
              <w:br/>
            </w:r>
            <w:r>
              <w:rPr>
                <w:rFonts w:ascii="Arial" w:hAnsi="Arial"/>
                <w:color w:val="191919"/>
                <w:sz w:val="16"/>
              </w:rPr>
              <w:t> </w:t>
            </w:r>
          </w:p>
        </w:tc>
      </w:tr>
      <w:tr>
        <w:trPr/>
        <w:tc>
          <w:tcPr>
            <w:tcW w:w="965"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b/>
                <w:color w:val="191919"/>
                <w:sz w:val="17"/>
              </w:rPr>
            </w:pPr>
            <w:r>
              <w:rPr>
                <w:rFonts w:ascii="Arial" w:hAnsi="Arial"/>
                <w:b/>
                <w:color w:val="191919"/>
                <w:sz w:val="17"/>
              </w:rPr>
              <w:t>Danielle R. Garde</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7"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i/>
                <w:color w:val="191919"/>
                <w:sz w:val="16"/>
              </w:rPr>
            </w:pPr>
            <w:r>
              <w:rPr>
                <w:rFonts w:ascii="Arial" w:hAnsi="Arial"/>
                <w:i/>
                <w:color w:val="191919"/>
                <w:sz w:val="16"/>
              </w:rPr>
              <w:t>$</w:t>
            </w:r>
          </w:p>
        </w:tc>
        <w:tc>
          <w:tcPr>
            <w:tcW w:w="1063" w:type="dxa"/>
            <w:tcBorders>
              <w:bottom w:val="single" w:sz="6" w:space="0" w:color="7DB655"/>
            </w:tcBorders>
            <w:tcMar>
              <w:bottom w:w="28" w:type="dxa"/>
            </w:tcMar>
            <w:vAlign w:val="center"/>
          </w:tcPr>
          <w:p>
            <w:pPr>
              <w:pStyle w:val="TableContents"/>
              <w:bidi w:val="0"/>
              <w:spacing w:lineRule="atLeast" w:line="220" w:before="0" w:after="0"/>
              <w:jc w:val="right"/>
              <w:rPr>
                <w:rFonts w:ascii="Arial" w:hAnsi="Arial"/>
                <w:i/>
                <w:color w:val="191919"/>
                <w:sz w:val="16"/>
              </w:rPr>
            </w:pPr>
            <w:r>
              <w:rPr>
                <w:rFonts w:ascii="Arial" w:hAnsi="Arial"/>
                <w:i/>
                <w:color w:val="191919"/>
                <w:sz w:val="16"/>
              </w:rPr>
              <w:t>242,000</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70"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1285" w:type="dxa"/>
            <w:tcBorders>
              <w:bottom w:val="single" w:sz="6" w:space="0" w:color="7DB655"/>
            </w:tcBorders>
            <w:tcMar>
              <w:bottom w:w="28"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$137,795</w:t>
              <w:br/>
            </w:r>
            <w:r>
              <w:rPr>
                <w:rFonts w:ascii="Arial" w:hAnsi="Arial"/>
                <w:i/>
                <w:color w:val="191919"/>
                <w:sz w:val="16"/>
              </w:rPr>
              <w:t>(94.9%</w:t>
            </w:r>
            <w:r>
              <w:rPr>
                <w:rFonts w:ascii="Arial" w:hAnsi="Arial"/>
                <w:color w:val="191919"/>
                <w:sz w:val="16"/>
              </w:rPr>
              <w:t> </w:t>
            </w:r>
            <w:r>
              <w:rPr>
                <w:rFonts w:ascii="Arial" w:hAnsi="Arial"/>
                <w:i/>
                <w:color w:val="191919"/>
                <w:sz w:val="16"/>
              </w:rPr>
              <w:t>Payout)</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5"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1290" w:type="dxa"/>
            <w:tcBorders>
              <w:bottom w:val="single" w:sz="6" w:space="0" w:color="7DB655"/>
            </w:tcBorders>
            <w:tcMar>
              <w:bottom w:w="28"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$57,681</w:t>
              <w:br/>
            </w:r>
            <w:r>
              <w:rPr>
                <w:rFonts w:ascii="Arial" w:hAnsi="Arial"/>
                <w:i/>
                <w:color w:val="191919"/>
                <w:sz w:val="16"/>
              </w:rPr>
              <w:t>(158.9%</w:t>
            </w:r>
            <w:r>
              <w:rPr>
                <w:rFonts w:ascii="Arial" w:hAnsi="Arial"/>
                <w:color w:val="191919"/>
                <w:sz w:val="16"/>
              </w:rPr>
              <w:t> </w:t>
            </w:r>
            <w:r>
              <w:rPr>
                <w:rFonts w:ascii="Arial" w:hAnsi="Arial"/>
                <w:i/>
                <w:color w:val="191919"/>
                <w:sz w:val="16"/>
              </w:rPr>
              <w:t>Payout)</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72"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1328" w:type="dxa"/>
            <w:tcBorders>
              <w:bottom w:val="single" w:sz="6" w:space="0" w:color="7DB655"/>
            </w:tcBorders>
            <w:tcMar>
              <w:bottom w:w="28" w:type="dxa"/>
            </w:tcMar>
            <w:vAlign w:val="center"/>
          </w:tcPr>
          <w:p>
            <w:pPr>
              <w:pStyle w:val="TableContents"/>
              <w:bidi w:val="0"/>
              <w:spacing w:lineRule="atLeast" w:line="220" w:before="0" w:after="0"/>
              <w:jc w:val="right"/>
              <w:rPr>
                <w:color w:val="191919"/>
              </w:rPr>
            </w:pPr>
            <w:r>
              <w:rPr>
                <w:color w:val="191919"/>
              </w:rPr>
              <w:t>—</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7"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1333" w:type="dxa"/>
            <w:tcBorders>
              <w:bottom w:val="single" w:sz="6" w:space="0" w:color="7DB655"/>
            </w:tcBorders>
            <w:tcMar>
              <w:bottom w:w="28" w:type="dxa"/>
            </w:tcMar>
            <w:vAlign w:val="center"/>
          </w:tcPr>
          <w:p>
            <w:pPr>
              <w:pStyle w:val="TableContents"/>
              <w:bidi w:val="0"/>
              <w:spacing w:lineRule="atLeast" w:line="220" w:before="0" w:after="0"/>
              <w:jc w:val="right"/>
              <w:rPr>
                <w:color w:val="191919"/>
              </w:rPr>
            </w:pPr>
            <w:r>
              <w:rPr>
                <w:color w:val="191919"/>
              </w:rPr>
              <w:t>—</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72"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1268" w:type="dxa"/>
            <w:tcBorders>
              <w:bottom w:val="single" w:sz="6" w:space="0" w:color="7DB655"/>
            </w:tcBorders>
            <w:tcMar>
              <w:bottom w:w="28"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$63,525</w:t>
              <w:br/>
            </w:r>
            <w:r>
              <w:rPr>
                <w:rFonts w:ascii="Arial" w:hAnsi="Arial"/>
                <w:i/>
                <w:color w:val="191919"/>
                <w:sz w:val="16"/>
              </w:rPr>
              <w:t>(105%</w:t>
            </w:r>
            <w:r>
              <w:rPr>
                <w:rFonts w:ascii="Arial" w:hAnsi="Arial"/>
                <w:color w:val="191919"/>
                <w:sz w:val="16"/>
              </w:rPr>
              <w:t> </w:t>
            </w:r>
            <w:r>
              <w:rPr>
                <w:rFonts w:ascii="Arial" w:hAnsi="Arial"/>
                <w:i/>
                <w:color w:val="191919"/>
                <w:sz w:val="16"/>
              </w:rPr>
              <w:t>Payout)</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color w:val="191919"/>
                <w:sz w:val="16"/>
              </w:rPr>
            </w:pPr>
            <w:r>
              <w:rPr>
                <w:rFonts w:ascii="Arial" w:hAnsi="Arial"/>
                <w:color w:val="191919"/>
                <w:sz w:val="16"/>
              </w:rPr>
              <w:b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lineRule="atLeast" w:line="220" w:before="0" w:after="0"/>
              <w:jc w:val="left"/>
              <w:rPr>
                <w:color w:val="191919"/>
              </w:rPr>
            </w:pPr>
            <w:r>
              <w:rPr>
                <w:color w:val="191919"/>
              </w:rPr>
              <w:t> </w:t>
            </w:r>
          </w:p>
        </w:tc>
        <w:tc>
          <w:tcPr>
            <w:tcW w:w="1235" w:type="dxa"/>
            <w:tcBorders>
              <w:bottom w:val="single" w:sz="6" w:space="0" w:color="7DB655"/>
            </w:tcBorders>
            <w:tcMar>
              <w:bottom w:w="28" w:type="dxa"/>
            </w:tcMar>
            <w:vAlign w:val="center"/>
          </w:tcPr>
          <w:p>
            <w:pPr>
              <w:pStyle w:val="TableContents"/>
              <w:bidi w:val="0"/>
              <w:spacing w:lineRule="atLeast" w:line="220" w:before="0" w:after="0"/>
              <w:jc w:val="right"/>
              <w:rPr>
                <w:rFonts w:ascii="Arial" w:hAnsi="Arial"/>
                <w:color w:val="191919"/>
                <w:sz w:val="16"/>
              </w:rPr>
            </w:pPr>
            <w:r>
              <w:rPr>
                <w:rFonts w:ascii="Arial" w:hAnsi="Arial"/>
                <w:b/>
                <w:color w:val="191919"/>
                <w:sz w:val="16"/>
              </w:rPr>
              <w:t>$259,001]</w:t>
              <w:br/>
            </w:r>
            <w:r>
              <w:rPr>
                <w:rFonts w:ascii="Arial" w:hAnsi="Arial"/>
                <w:b/>
                <w:i/>
                <w:color w:val="191919"/>
                <w:sz w:val="16"/>
              </w:rPr>
              <w:t>(107.0%</w:t>
            </w:r>
            <w:r>
              <w:rPr>
                <w:rFonts w:ascii="Arial" w:hAnsi="Arial"/>
                <w:color w:val="191919"/>
                <w:sz w:val="16"/>
              </w:rPr>
              <w:t> </w:t>
            </w:r>
            <w:r>
              <w:rPr>
                <w:rFonts w:ascii="Arial" w:hAnsi="Arial"/>
                <w:b/>
                <w:i/>
                <w:color w:val="191919"/>
                <w:sz w:val="16"/>
              </w:rPr>
              <w:t>Payout)</w:t>
            </w:r>
          </w:p>
        </w:tc>
        <w:tc>
          <w:tcPr>
            <w:tcW w:w="75"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color w:val="191919"/>
                <w:sz w:val="16"/>
              </w:rPr>
            </w:pPr>
            <w:r>
              <w:rPr>
                <w:rFonts w:ascii="Arial" w:hAnsi="Arial"/>
                <w:b/>
                <w:color w:val="191919"/>
                <w:sz w:val="16"/>
              </w:rPr>
              <w:br/>
            </w:r>
            <w:r>
              <w:rPr>
                <w:rFonts w:ascii="Arial" w:hAnsi="Arial"/>
                <w:color w:val="191919"/>
                <w:sz w:val="16"/>
              </w:rPr>
              <w:t> </w:t>
            </w:r>
          </w:p>
        </w:tc>
      </w:tr>
    </w:tbl>
    <w:p>
      <w:pPr>
        <w:pStyle w:val="TextBody"/>
        <w:bidi w:val="0"/>
        <w:spacing w:before="0" w:after="0"/>
        <w:jc w:val="left"/>
        <w:rPr/>
      </w:pPr>
      <w:r>
        <w:rPr/>
        <w:t> </w:t>
      </w:r>
    </w:p>
    <w:tbl>
      <w:tblPr>
        <w:tblW w:w="5333" w:type="dxa"/>
        <w:jc w:val="left"/>
        <w:tblInd w:w="0" w:type="dxa"/>
        <w:tblLayout w:type="fixed"/>
        <w:tblCellMar>
          <w:top w:w="0" w:type="dxa"/>
          <w:left w:w="0" w:type="dxa"/>
          <w:bottom w:w="0" w:type="dxa"/>
          <w:right w:w="0" w:type="dxa"/>
        </w:tblCellMar>
      </w:tblPr>
      <w:tblGrid>
        <w:gridCol w:w="3350"/>
        <w:gridCol w:w="60"/>
        <w:gridCol w:w="1923"/>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bookmarkStart w:id="35" w:name="txa136145_9"/>
            <w:bookmarkStart w:id="36" w:name="txa136145_9"/>
            <w:bookmarkEnd w:id="36"/>
          </w:p>
        </w:tc>
      </w:tr>
      <w:tr>
        <w:trPr/>
        <w:tc>
          <w:tcPr>
            <w:tcW w:w="3350" w:type="dxa"/>
            <w:tcBorders/>
            <w:vAlign w:val="center"/>
          </w:tcPr>
          <w:p>
            <w:pPr>
              <w:pStyle w:val="TableContents"/>
              <w:bidi w:val="0"/>
              <w:spacing w:before="0" w:after="283"/>
              <w:jc w:val="left"/>
              <w:rPr>
                <w:b/>
                <w:color w:val="0A7DAC"/>
                <w:sz w:val="25"/>
              </w:rPr>
            </w:pPr>
            <w:r>
              <w:rPr>
                <w:b/>
                <w:color w:val="0A7DAC"/>
                <w:sz w:val="25"/>
              </w:rPr>
              <w:t>Long-Term Equity Incentives </w:t>
            </w:r>
          </w:p>
        </w:tc>
        <w:tc>
          <w:tcPr>
            <w:tcW w:w="60" w:type="dxa"/>
            <w:tcBorders/>
            <w:vAlign w:val="center"/>
          </w:tcPr>
          <w:p>
            <w:pPr>
              <w:pStyle w:val="TableContents"/>
              <w:bidi w:val="0"/>
              <w:spacing w:before="0" w:after="283"/>
              <w:jc w:val="left"/>
              <w:rPr/>
            </w:pPr>
            <w:r>
              <w:rPr/>
              <w:t> </w:t>
            </w:r>
          </w:p>
        </w:tc>
        <w:tc>
          <w:tcPr>
            <w:tcW w:w="1923" w:type="dxa"/>
            <w:tcBorders/>
            <w:vAlign w:val="center"/>
          </w:tcPr>
          <w:p>
            <w:pPr>
              <w:pStyle w:val="TableContents"/>
              <w:bidi w:val="0"/>
              <w:spacing w:before="0" w:after="0"/>
              <w:jc w:val="left"/>
              <w:rPr/>
            </w:pPr>
            <w:r>
              <w:rPr/>
              <w:drawing>
                <wp:inline distT="0" distB="0" distL="0" distR="0">
                  <wp:extent cx="369570" cy="275590"/>
                  <wp:effectExtent l="0" t="0" r="0" b="0"/>
                  <wp:docPr id="333"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09" descr=""/>
                          <pic:cNvPicPr>
                            <a:picLocks noChangeAspect="1" noChangeArrowheads="1"/>
                          </pic:cNvPicPr>
                        </pic:nvPicPr>
                        <pic:blipFill>
                          <a:blip r:embed="rId312"/>
                          <a:stretch>
                            <a:fillRect/>
                          </a:stretch>
                        </pic:blipFill>
                        <pic:spPr bwMode="auto">
                          <a:xfrm>
                            <a:off x="0" y="0"/>
                            <a:ext cx="369570" cy="275590"/>
                          </a:xfrm>
                          <a:prstGeom prst="rect">
                            <a:avLst/>
                          </a:prstGeom>
                        </pic:spPr>
                      </pic:pic>
                    </a:graphicData>
                  </a:graphic>
                </wp:inline>
              </w:drawing>
            </w:r>
            <w:r>
              <w:rPr/>
              <w:t xml:space="preserve">   </w:t>
            </w:r>
            <w:r>
              <w:rPr/>
              <w:drawing>
                <wp:inline distT="0" distB="0" distL="0" distR="0">
                  <wp:extent cx="285115" cy="285115"/>
                  <wp:effectExtent l="0" t="0" r="0" b="0"/>
                  <wp:docPr id="33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0" descr=""/>
                          <pic:cNvPicPr>
                            <a:picLocks noChangeAspect="1" noChangeArrowheads="1"/>
                          </pic:cNvPicPr>
                        </pic:nvPicPr>
                        <pic:blipFill>
                          <a:blip r:embed="rId313"/>
                          <a:stretch>
                            <a:fillRect/>
                          </a:stretch>
                        </pic:blipFill>
                        <pic:spPr bwMode="auto">
                          <a:xfrm>
                            <a:off x="0" y="0"/>
                            <a:ext cx="285115" cy="285115"/>
                          </a:xfrm>
                          <a:prstGeom prst="rect">
                            <a:avLst/>
                          </a:prstGeom>
                        </pic:spPr>
                      </pic:pic>
                    </a:graphicData>
                  </a:graphic>
                </wp:inline>
              </w:drawing>
            </w:r>
            <w:r>
              <w:rPr/>
              <w:t xml:space="preserve">   </w:t>
            </w:r>
            <w:r>
              <w:rPr/>
              <w:drawing>
                <wp:inline distT="0" distB="0" distL="0" distR="0">
                  <wp:extent cx="296545" cy="275590"/>
                  <wp:effectExtent l="0" t="0" r="0" b="0"/>
                  <wp:docPr id="335"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1" descr=""/>
                          <pic:cNvPicPr>
                            <a:picLocks noChangeAspect="1" noChangeArrowheads="1"/>
                          </pic:cNvPicPr>
                        </pic:nvPicPr>
                        <pic:blipFill>
                          <a:blip r:embed="rId314"/>
                          <a:stretch>
                            <a:fillRect/>
                          </a:stretch>
                        </pic:blipFill>
                        <pic:spPr bwMode="auto">
                          <a:xfrm>
                            <a:off x="0" y="0"/>
                            <a:ext cx="296545" cy="275590"/>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240" w:after="0"/>
        <w:jc w:val="left"/>
        <w:rPr>
          <w:rFonts w:ascii="Arial" w:hAnsi="Arial"/>
          <w:color w:val="191919"/>
          <w:sz w:val="18"/>
        </w:rPr>
      </w:pPr>
      <w:r>
        <w:rPr>
          <w:rFonts w:ascii="Arial" w:hAnsi="Arial"/>
          <w:color w:val="191919"/>
          <w:sz w:val="18"/>
        </w:rPr>
        <w:t xml:space="preserve">Our LTIP exists to provide senior leaders a long-term, performance-based incentive that promotes building long-term shareholder value. These incentives most directly support our “Align Long-Term Executive and Shareholder Interests” and “Drive Future Performance” compensation objectives. LTIP awards take the form of Company equity, as the Compensation Committee believes that this is the best available vehicle to encourage performance with a view toward building long-term shareholder value. </w:t>
      </w:r>
    </w:p>
    <w:p>
      <w:pPr>
        <w:pStyle w:val="TextBody"/>
        <w:bidi w:val="0"/>
        <w:spacing w:before="360" w:after="0"/>
        <w:jc w:val="left"/>
        <w:rPr>
          <w:rFonts w:ascii="Arial" w:hAnsi="Arial"/>
          <w:b/>
          <w:color w:val="191919"/>
          <w:sz w:val="21"/>
        </w:rPr>
      </w:pPr>
      <w:r>
        <w:rPr>
          <w:rFonts w:ascii="Arial" w:hAnsi="Arial"/>
          <w:b/>
          <w:color w:val="191919"/>
          <w:sz w:val="21"/>
        </w:rPr>
        <w:t xml:space="preserve">LTIP Award Structure </w:t>
      </w:r>
    </w:p>
    <w:p>
      <w:pPr>
        <w:pStyle w:val="TextBody"/>
        <w:bidi w:val="0"/>
        <w:spacing w:before="240" w:after="0"/>
        <w:jc w:val="left"/>
        <w:rPr>
          <w:rFonts w:ascii="Arial" w:hAnsi="Arial"/>
          <w:color w:val="191919"/>
          <w:sz w:val="18"/>
        </w:rPr>
      </w:pPr>
      <w:r>
        <w:rPr>
          <w:rFonts w:ascii="Arial" w:hAnsi="Arial"/>
          <w:color w:val="191919"/>
          <w:sz w:val="18"/>
        </w:rPr>
        <w:t xml:space="preserve">Our LTIP consists of two components: </w:t>
      </w:r>
      <w:r>
        <w:rPr>
          <w:rFonts w:ascii="Arial" w:hAnsi="Arial"/>
          <w:b/>
          <w:color w:val="191919"/>
          <w:sz w:val="18"/>
        </w:rPr>
        <w:t>performance shares</w:t>
      </w:r>
      <w:r>
        <w:rPr>
          <w:rFonts w:ascii="Arial" w:hAnsi="Arial"/>
          <w:color w:val="191919"/>
          <w:sz w:val="18"/>
        </w:rPr>
        <w:t xml:space="preserve"> and </w:t>
      </w:r>
      <w:r>
        <w:rPr>
          <w:rFonts w:ascii="Arial" w:hAnsi="Arial"/>
          <w:b/>
          <w:color w:val="191919"/>
          <w:sz w:val="18"/>
        </w:rPr>
        <w:t>restricted stock</w:t>
      </w:r>
      <w:r>
        <w:rPr>
          <w:rFonts w:ascii="Arial" w:hAnsi="Arial"/>
          <w:color w:val="191919"/>
          <w:sz w:val="18"/>
        </w:rPr>
        <w:t xml:space="preserve">, as shown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752725"/>
            <wp:effectExtent l="0" t="0" r="0" b="0"/>
            <wp:docPr id="336"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2" descr=""/>
                    <pic:cNvPicPr>
                      <a:picLocks noChangeAspect="1" noChangeArrowheads="1"/>
                    </pic:cNvPicPr>
                  </pic:nvPicPr>
                  <pic:blipFill>
                    <a:blip r:embed="rId315"/>
                    <a:stretch>
                      <a:fillRect/>
                    </a:stretch>
                  </pic:blipFill>
                  <pic:spPr bwMode="auto">
                    <a:xfrm>
                      <a:off x="0" y="0"/>
                      <a:ext cx="7810500" cy="2752725"/>
                    </a:xfrm>
                    <a:prstGeom prst="rect">
                      <a:avLst/>
                    </a:prstGeom>
                  </pic:spPr>
                </pic:pic>
              </a:graphicData>
            </a:graphic>
          </wp:inline>
        </w:drawing>
      </w:r>
      <w:r>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In fiscal 2026, all NEOs received their long-term incentive awards in these forms. The Compensation Committee believes these equity award forms and the target weighting appropriately balances ensuring executives have meaningful, long-term equity ownership, promoting stock price-based and financial-based achievements, and aligning the interests of the NEOs with the Company’s risk profile and the interests of our shareholders.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37"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3" descr=""/>
                          <pic:cNvPicPr>
                            <a:picLocks noChangeAspect="1" noChangeArrowheads="1"/>
                          </pic:cNvPicPr>
                        </pic:nvPicPr>
                        <pic:blipFill>
                          <a:blip r:embed="rId31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191919"/>
          <w:sz w:val="21"/>
        </w:rPr>
      </w:pPr>
      <w:r>
        <w:rPr>
          <w:rFonts w:ascii="Arial" w:hAnsi="Arial"/>
          <w:b/>
          <w:color w:val="191919"/>
          <w:sz w:val="21"/>
        </w:rPr>
        <w:t xml:space="preserve">LTIP Target Opportunities </w:t>
      </w:r>
    </w:p>
    <w:p>
      <w:pPr>
        <w:pStyle w:val="TextBody"/>
        <w:bidi w:val="0"/>
        <w:spacing w:before="240" w:after="0"/>
        <w:jc w:val="left"/>
        <w:rPr>
          <w:rFonts w:ascii="Arial" w:hAnsi="Arial"/>
          <w:color w:val="191919"/>
          <w:sz w:val="18"/>
        </w:rPr>
      </w:pPr>
      <w:r>
        <w:rPr>
          <w:rFonts w:ascii="Arial" w:hAnsi="Arial"/>
          <w:b/>
          <w:i/>
          <w:color w:val="191919"/>
          <w:sz w:val="18"/>
        </w:rPr>
        <w:t>Target Opportunities</w:t>
      </w:r>
      <w:r>
        <w:rPr>
          <w:rFonts w:ascii="Arial" w:hAnsi="Arial"/>
          <w:color w:val="191919"/>
          <w:sz w:val="18"/>
        </w:rPr>
        <w:t xml:space="preserve">. The Compensation Committee establishes a target opportunity for each NEO under the Company’s LTIP consistent with the process described above under “The Compensation Decision Making Process.” Our NEOs LTIP target opportunities are expressed as a percentage of base salary. The LTIP target opportunities established for fiscal 2026 are set forth in the table below. </w:t>
      </w:r>
    </w:p>
    <w:p>
      <w:pPr>
        <w:pStyle w:val="TextBody"/>
        <w:bidi w:val="0"/>
        <w:spacing w:before="0" w:after="0"/>
        <w:jc w:val="left"/>
        <w:rPr/>
      </w:pPr>
      <w:r>
        <w:rPr/>
        <w:t> </w:t>
      </w:r>
    </w:p>
    <w:tbl>
      <w:tblPr>
        <w:tblW w:w="8394" w:type="dxa"/>
        <w:jc w:val="left"/>
        <w:tblInd w:w="0" w:type="dxa"/>
        <w:tblLayout w:type="fixed"/>
        <w:tblCellMar>
          <w:top w:w="0" w:type="dxa"/>
          <w:left w:w="0" w:type="dxa"/>
          <w:bottom w:w="0" w:type="dxa"/>
          <w:right w:w="0" w:type="dxa"/>
        </w:tblCellMar>
      </w:tblPr>
      <w:tblGrid>
        <w:gridCol w:w="1985"/>
        <w:gridCol w:w="120"/>
        <w:gridCol w:w="76"/>
        <w:gridCol w:w="76"/>
        <w:gridCol w:w="946"/>
        <w:gridCol w:w="31"/>
        <w:gridCol w:w="240"/>
        <w:gridCol w:w="152"/>
        <w:gridCol w:w="152"/>
        <w:gridCol w:w="737"/>
        <w:gridCol w:w="434"/>
        <w:gridCol w:w="240"/>
        <w:gridCol w:w="60"/>
        <w:gridCol w:w="60"/>
        <w:gridCol w:w="1295"/>
        <w:gridCol w:w="60"/>
        <w:gridCol w:w="240"/>
        <w:gridCol w:w="150"/>
        <w:gridCol w:w="150"/>
        <w:gridCol w:w="726"/>
        <w:gridCol w:w="464"/>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Named Executive Officer</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29"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2026 LTIP</w:t>
              <w:br/>
              <w:t>Target ($)</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7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2026 LTIP</w:t>
              <w:br/>
              <w:t>Target as %</w:t>
              <w:br/>
              <w:t>of Base Salary</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7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LTIP Award</w:t>
              <w:br/>
              <w:t>Format</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90"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2025 LTIP</w:t>
              <w:br/>
              <w:t>Target as %</w:t>
              <w:br/>
              <w:t>of Base Salary</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49"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Joseph B. Armes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240" w:before="0" w:after="0"/>
              <w:jc w:val="left"/>
              <w:rPr>
                <w:color w:val="191919"/>
              </w:rPr>
            </w:pPr>
            <w:r>
              <w:rPr>
                <w:color w:val="191919"/>
              </w:rPr>
              <w:t> </w:t>
            </w:r>
          </w:p>
        </w:tc>
        <w:tc>
          <w:tcPr>
            <w:tcW w:w="946" w:type="dxa"/>
            <w:tcBorders/>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3,931,250</w:t>
            </w:r>
          </w:p>
        </w:tc>
        <w:tc>
          <w:tcPr>
            <w:tcW w:w="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tLeast" w:line="240" w:before="0" w:after="0"/>
              <w:jc w:val="left"/>
              <w:rPr>
                <w:color w:val="191919"/>
              </w:rPr>
            </w:pPr>
            <w:r>
              <w:rPr>
                <w:color w:val="191919"/>
              </w:rPr>
              <w:t> </w:t>
            </w:r>
          </w:p>
        </w:tc>
        <w:tc>
          <w:tcPr>
            <w:tcW w:w="737" w:type="dxa"/>
            <w:tcBorders/>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425</w:t>
            </w:r>
          </w:p>
        </w:tc>
        <w:tc>
          <w:tcPr>
            <w:tcW w:w="434" w:type="dxa"/>
            <w:tcBorders/>
            <w:vAlign w:val="center"/>
          </w:tcPr>
          <w:p>
            <w:pPr>
              <w:pStyle w:val="TableContents"/>
              <w:bidi w:val="0"/>
              <w:spacing w:lineRule="atLeast" w:line="240" w:before="0" w:after="0"/>
              <w:jc w:val="left"/>
              <w:rPr>
                <w:rFonts w:ascii="Arial" w:hAnsi="Arial"/>
                <w:b/>
                <w:color w:val="191919"/>
                <w:sz w:val="16"/>
              </w:rPr>
            </w:pPr>
            <w:r>
              <w:rPr>
                <w:rFonts w:ascii="Arial" w:hAnsi="Arial"/>
                <w:b/>
                <w:color w:val="191919"/>
                <w:sz w:val="16"/>
              </w:rPr>
              <w:t>%</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1295" w:type="dxa"/>
            <w:tcBorders/>
            <w:vAlign w:val="center"/>
          </w:tcPr>
          <w:p>
            <w:pPr>
              <w:pStyle w:val="TableContents"/>
              <w:bidi w:val="0"/>
              <w:spacing w:lineRule="atLeast" w:line="240" w:before="0" w:after="0"/>
              <w:jc w:val="center"/>
              <w:rPr>
                <w:rFonts w:ascii="Arial" w:hAnsi="Arial"/>
                <w:color w:val="191919"/>
                <w:sz w:val="16"/>
              </w:rPr>
            </w:pPr>
            <w:r>
              <w:rPr>
                <w:rFonts w:ascii="Arial" w:hAnsi="Arial"/>
                <w:color w:val="191919"/>
                <w:sz w:val="16"/>
              </w:rPr>
              <w:t>60% PS /40% RS</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24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40" w:before="0" w:after="0"/>
              <w:jc w:val="left"/>
              <w:rPr>
                <w:color w:val="191919"/>
              </w:rPr>
            </w:pPr>
            <w:r>
              <w:rPr>
                <w:color w:val="191919"/>
              </w:rPr>
              <w:t> </w:t>
            </w:r>
          </w:p>
        </w:tc>
        <w:tc>
          <w:tcPr>
            <w:tcW w:w="726" w:type="dxa"/>
            <w:tcBorders/>
            <w:vAlign w:val="center"/>
          </w:tcPr>
          <w:p>
            <w:pPr>
              <w:pStyle w:val="TableContents"/>
              <w:bidi w:val="0"/>
              <w:spacing w:lineRule="atLeast" w:line="240" w:before="0" w:after="0"/>
              <w:jc w:val="right"/>
              <w:rPr>
                <w:rFonts w:ascii="Arial" w:hAnsi="Arial"/>
                <w:color w:val="191919"/>
                <w:sz w:val="16"/>
              </w:rPr>
            </w:pPr>
            <w:r>
              <w:rPr>
                <w:rFonts w:ascii="Arial" w:hAnsi="Arial"/>
                <w:color w:val="191919"/>
                <w:sz w:val="16"/>
              </w:rPr>
              <w:t>375</w:t>
            </w:r>
          </w:p>
        </w:tc>
        <w:tc>
          <w:tcPr>
            <w:tcW w:w="464" w:type="dxa"/>
            <w:tcBorders/>
            <w:vAlign w:val="center"/>
          </w:tcPr>
          <w:p>
            <w:pPr>
              <w:pStyle w:val="TableContents"/>
              <w:bidi w:val="0"/>
              <w:spacing w:lineRule="atLeast" w:line="240" w:before="0" w:after="0"/>
              <w:jc w:val="left"/>
              <w:rPr>
                <w:rFonts w:ascii="Arial" w:hAnsi="Arial"/>
                <w:color w:val="191919"/>
                <w:sz w:val="16"/>
              </w:rPr>
            </w:pPr>
            <w:r>
              <w:rPr>
                <w:rFonts w:ascii="Arial" w:hAnsi="Arial"/>
                <w:color w:val="191919"/>
                <w:sz w:val="16"/>
              </w:rPr>
              <w:t>%</w:t>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1249" w:type="dxa"/>
            <w:gridSpan w:val="5"/>
            <w:tcBorders/>
            <w:shd w:fill="EDEDED" w:val="clear"/>
            <w:vAlign w:val="center"/>
          </w:tcPr>
          <w:p>
            <w:pPr>
              <w:pStyle w:val="TableContents"/>
              <w:bidi w:val="0"/>
              <w:spacing w:before="0" w:after="283"/>
              <w:jc w:val="left"/>
              <w:rPr>
                <w:sz w:val="4"/>
                <w:szCs w:val="4"/>
              </w:rPr>
            </w:pPr>
            <w:r>
              <w:rPr>
                <w:sz w:val="4"/>
                <w:szCs w:val="4"/>
              </w:rPr>
            </w:r>
          </w:p>
        </w:tc>
        <w:tc>
          <w:tcPr>
            <w:tcW w:w="1715" w:type="dxa"/>
            <w:gridSpan w:val="5"/>
            <w:tcBorders/>
            <w:shd w:fill="EDEDED" w:val="clear"/>
            <w:vAlign w:val="center"/>
          </w:tcPr>
          <w:p>
            <w:pPr>
              <w:pStyle w:val="TableContents"/>
              <w:bidi w:val="0"/>
              <w:spacing w:before="0" w:after="283"/>
              <w:jc w:val="left"/>
              <w:rPr>
                <w:sz w:val="4"/>
                <w:szCs w:val="4"/>
              </w:rPr>
            </w:pPr>
            <w:r>
              <w:rPr>
                <w:sz w:val="4"/>
                <w:szCs w:val="4"/>
              </w:rPr>
            </w:r>
          </w:p>
        </w:tc>
        <w:tc>
          <w:tcPr>
            <w:tcW w:w="1715" w:type="dxa"/>
            <w:gridSpan w:val="5"/>
            <w:tcBorders/>
            <w:shd w:fill="EDEDED" w:val="clear"/>
            <w:vAlign w:val="center"/>
          </w:tcPr>
          <w:p>
            <w:pPr>
              <w:pStyle w:val="TableContents"/>
              <w:bidi w:val="0"/>
              <w:spacing w:before="0" w:after="283"/>
              <w:jc w:val="left"/>
              <w:rPr>
                <w:sz w:val="4"/>
                <w:szCs w:val="4"/>
              </w:rPr>
            </w:pPr>
            <w:r>
              <w:rPr>
                <w:sz w:val="4"/>
                <w:szCs w:val="4"/>
              </w:rPr>
            </w:r>
          </w:p>
        </w:tc>
        <w:tc>
          <w:tcPr>
            <w:tcW w:w="173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James E. Perry</w:t>
            </w:r>
          </w:p>
        </w:tc>
        <w:tc>
          <w:tcPr>
            <w:tcW w:w="120" w:type="dxa"/>
            <w:tcBorders/>
            <w:shd w:fill="EDEDED" w:val="clear"/>
            <w:vAlign w:val="center"/>
          </w:tcPr>
          <w:p>
            <w:pPr>
              <w:pStyle w:val="TableContents"/>
              <w:bidi w:val="0"/>
              <w:spacing w:before="0" w:after="283"/>
              <w:jc w:val="left"/>
              <w:rPr/>
            </w:pPr>
            <w:r>
              <w:rPr/>
              <w:t>  </w:t>
            </w:r>
          </w:p>
        </w:tc>
        <w:tc>
          <w:tcPr>
            <w:tcW w:w="76" w:type="dxa"/>
            <w:tcBorders/>
            <w:shd w:fill="EDEDED" w:val="clear"/>
            <w:vAlign w:val="center"/>
          </w:tcPr>
          <w:p>
            <w:pPr>
              <w:pStyle w:val="TableContents"/>
              <w:bidi w:val="0"/>
              <w:spacing w:before="0" w:after="283"/>
              <w:jc w:val="left"/>
              <w:rPr/>
            </w:pPr>
            <w:r>
              <w:rPr/>
              <w:t> </w:t>
            </w:r>
          </w:p>
        </w:tc>
        <w:tc>
          <w:tcPr>
            <w:tcW w:w="76"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946" w:type="dxa"/>
            <w:tcBorders/>
            <w:shd w:fill="EDEDED" w:val="clear"/>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910,000</w:t>
            </w:r>
          </w:p>
        </w:tc>
        <w:tc>
          <w:tcPr>
            <w:tcW w:w="31"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pPr>
            <w:r>
              <w:rPr/>
              <w:t>    </w:t>
            </w:r>
          </w:p>
        </w:tc>
        <w:tc>
          <w:tcPr>
            <w:tcW w:w="152" w:type="dxa"/>
            <w:tcBorders/>
            <w:shd w:fill="EDEDED" w:val="clear"/>
            <w:vAlign w:val="center"/>
          </w:tcPr>
          <w:p>
            <w:pPr>
              <w:pStyle w:val="TableContents"/>
              <w:bidi w:val="0"/>
              <w:spacing w:before="0" w:after="283"/>
              <w:jc w:val="left"/>
              <w:rPr/>
            </w:pPr>
            <w:r>
              <w:rPr/>
              <w:t> </w:t>
            </w:r>
          </w:p>
        </w:tc>
        <w:tc>
          <w:tcPr>
            <w:tcW w:w="152"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737" w:type="dxa"/>
            <w:tcBorders/>
            <w:shd w:fill="EDEDED" w:val="clear"/>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175</w:t>
            </w:r>
          </w:p>
        </w:tc>
        <w:tc>
          <w:tcPr>
            <w:tcW w:w="434" w:type="dxa"/>
            <w:tcBorders/>
            <w:shd w:fill="EDEDED" w:val="clear"/>
            <w:vAlign w:val="center"/>
          </w:tcPr>
          <w:p>
            <w:pPr>
              <w:pStyle w:val="TableContents"/>
              <w:bidi w:val="0"/>
              <w:spacing w:lineRule="atLeast" w:line="240" w:before="0" w:after="0"/>
              <w:jc w:val="left"/>
              <w:rPr>
                <w:rFonts w:ascii="Arial" w:hAnsi="Arial"/>
                <w:b/>
                <w:color w:val="191919"/>
                <w:sz w:val="16"/>
              </w:rPr>
            </w:pPr>
            <w:r>
              <w:rPr>
                <w:rFonts w:ascii="Arial" w:hAnsi="Arial"/>
                <w:b/>
                <w:color w:val="191919"/>
                <w:sz w:val="16"/>
              </w:rPr>
              <w:t>%</w:t>
            </w:r>
          </w:p>
        </w:tc>
        <w:tc>
          <w:tcPr>
            <w:tcW w:w="24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1295" w:type="dxa"/>
            <w:tcBorders/>
            <w:shd w:fill="EDEDED" w:val="clear"/>
            <w:vAlign w:val="center"/>
          </w:tcPr>
          <w:p>
            <w:pPr>
              <w:pStyle w:val="TableContents"/>
              <w:bidi w:val="0"/>
              <w:spacing w:lineRule="atLeast" w:line="240" w:before="0" w:after="0"/>
              <w:jc w:val="center"/>
              <w:rPr>
                <w:rFonts w:ascii="Arial" w:hAnsi="Arial"/>
                <w:color w:val="191919"/>
                <w:sz w:val="16"/>
              </w:rPr>
            </w:pPr>
            <w:r>
              <w:rPr>
                <w:rFonts w:ascii="Arial" w:hAnsi="Arial"/>
                <w:color w:val="191919"/>
                <w:sz w:val="16"/>
              </w:rPr>
              <w:t>50% PS /50% RS</w:t>
            </w:r>
          </w:p>
        </w:tc>
        <w:tc>
          <w:tcPr>
            <w:tcW w:w="60"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24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726" w:type="dxa"/>
            <w:tcBorders/>
            <w:shd w:fill="EDEDED" w:val="clear"/>
            <w:vAlign w:val="center"/>
          </w:tcPr>
          <w:p>
            <w:pPr>
              <w:pStyle w:val="TableContents"/>
              <w:bidi w:val="0"/>
              <w:spacing w:lineRule="atLeast" w:line="240" w:before="0" w:after="0"/>
              <w:jc w:val="right"/>
              <w:rPr>
                <w:rFonts w:ascii="Arial" w:hAnsi="Arial"/>
                <w:color w:val="191919"/>
                <w:sz w:val="16"/>
              </w:rPr>
            </w:pPr>
            <w:r>
              <w:rPr>
                <w:rFonts w:ascii="Arial" w:hAnsi="Arial"/>
                <w:color w:val="191919"/>
                <w:sz w:val="16"/>
              </w:rPr>
              <w:t>175</w:t>
            </w:r>
          </w:p>
        </w:tc>
        <w:tc>
          <w:tcPr>
            <w:tcW w:w="464" w:type="dxa"/>
            <w:tcBorders/>
            <w:shd w:fill="EDEDED" w:val="clear"/>
            <w:vAlign w:val="center"/>
          </w:tcPr>
          <w:p>
            <w:pPr>
              <w:pStyle w:val="TableContents"/>
              <w:bidi w:val="0"/>
              <w:spacing w:lineRule="atLeast" w:line="240" w:before="0" w:after="0"/>
              <w:jc w:val="left"/>
              <w:rPr>
                <w:rFonts w:ascii="Arial" w:hAnsi="Arial"/>
                <w:color w:val="191919"/>
                <w:sz w:val="16"/>
              </w:rPr>
            </w:pPr>
            <w:r>
              <w:rPr>
                <w:rFonts w:ascii="Arial" w:hAnsi="Arial"/>
                <w:color w:val="191919"/>
                <w:sz w:val="16"/>
              </w:rPr>
              <w:t>%</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49"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Jeff A. Underwood</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240" w:before="0" w:after="0"/>
              <w:jc w:val="left"/>
              <w:rPr>
                <w:color w:val="191919"/>
              </w:rPr>
            </w:pPr>
            <w:r>
              <w:rPr>
                <w:color w:val="191919"/>
              </w:rPr>
              <w:t> </w:t>
            </w:r>
          </w:p>
        </w:tc>
        <w:tc>
          <w:tcPr>
            <w:tcW w:w="946" w:type="dxa"/>
            <w:tcBorders/>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638,000</w:t>
            </w:r>
          </w:p>
        </w:tc>
        <w:tc>
          <w:tcPr>
            <w:tcW w:w="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lineRule="atLeast" w:line="240" w:before="0" w:after="0"/>
              <w:jc w:val="left"/>
              <w:rPr>
                <w:color w:val="191919"/>
              </w:rPr>
            </w:pPr>
            <w:r>
              <w:rPr>
                <w:color w:val="191919"/>
              </w:rPr>
              <w:t> </w:t>
            </w:r>
          </w:p>
        </w:tc>
        <w:tc>
          <w:tcPr>
            <w:tcW w:w="737" w:type="dxa"/>
            <w:tcBorders/>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145</w:t>
            </w:r>
          </w:p>
        </w:tc>
        <w:tc>
          <w:tcPr>
            <w:tcW w:w="434" w:type="dxa"/>
            <w:tcBorders/>
            <w:vAlign w:val="center"/>
          </w:tcPr>
          <w:p>
            <w:pPr>
              <w:pStyle w:val="TableContents"/>
              <w:bidi w:val="0"/>
              <w:spacing w:lineRule="atLeast" w:line="240" w:before="0" w:after="0"/>
              <w:jc w:val="left"/>
              <w:rPr>
                <w:rFonts w:ascii="Arial" w:hAnsi="Arial"/>
                <w:b/>
                <w:color w:val="191919"/>
                <w:sz w:val="16"/>
              </w:rPr>
            </w:pPr>
            <w:r>
              <w:rPr>
                <w:rFonts w:ascii="Arial" w:hAnsi="Arial"/>
                <w:b/>
                <w:color w:val="191919"/>
                <w:sz w:val="16"/>
              </w:rPr>
              <w:t>%</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1295" w:type="dxa"/>
            <w:tcBorders/>
            <w:vAlign w:val="center"/>
          </w:tcPr>
          <w:p>
            <w:pPr>
              <w:pStyle w:val="TableContents"/>
              <w:bidi w:val="0"/>
              <w:spacing w:lineRule="atLeast" w:line="240" w:before="0" w:after="0"/>
              <w:jc w:val="center"/>
              <w:rPr>
                <w:rFonts w:ascii="Arial" w:hAnsi="Arial"/>
                <w:color w:val="191919"/>
                <w:sz w:val="16"/>
              </w:rPr>
            </w:pPr>
            <w:r>
              <w:rPr>
                <w:rFonts w:ascii="Arial" w:hAnsi="Arial"/>
                <w:color w:val="191919"/>
                <w:sz w:val="16"/>
              </w:rPr>
              <w:t>50% PS /50% RS</w:t>
            </w:r>
          </w:p>
        </w:tc>
        <w:tc>
          <w:tcPr>
            <w:tcW w:w="60" w:type="dxa"/>
            <w:tcBorders/>
            <w:vAlign w:val="center"/>
          </w:tcPr>
          <w:p>
            <w:pPr>
              <w:pStyle w:val="TableContents"/>
              <w:bidi w:val="0"/>
              <w:spacing w:lineRule="atLeast" w:line="240" w:before="0" w:after="0"/>
              <w:jc w:val="left"/>
              <w:rPr>
                <w:color w:val="191919"/>
              </w:rPr>
            </w:pPr>
            <w:r>
              <w:rPr>
                <w:color w:val="191919"/>
              </w:rPr>
              <w:t> </w:t>
            </w:r>
          </w:p>
        </w:tc>
        <w:tc>
          <w:tcPr>
            <w:tcW w:w="24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lineRule="atLeast" w:line="240" w:before="0" w:after="0"/>
              <w:jc w:val="left"/>
              <w:rPr>
                <w:color w:val="191919"/>
              </w:rPr>
            </w:pPr>
            <w:r>
              <w:rPr>
                <w:color w:val="191919"/>
              </w:rPr>
              <w:t> </w:t>
            </w:r>
          </w:p>
        </w:tc>
        <w:tc>
          <w:tcPr>
            <w:tcW w:w="726" w:type="dxa"/>
            <w:tcBorders/>
            <w:vAlign w:val="center"/>
          </w:tcPr>
          <w:p>
            <w:pPr>
              <w:pStyle w:val="TableContents"/>
              <w:bidi w:val="0"/>
              <w:spacing w:lineRule="atLeast" w:line="240" w:before="0" w:after="0"/>
              <w:jc w:val="right"/>
              <w:rPr>
                <w:rFonts w:ascii="Arial" w:hAnsi="Arial"/>
                <w:color w:val="191919"/>
                <w:sz w:val="16"/>
              </w:rPr>
            </w:pPr>
            <w:r>
              <w:rPr>
                <w:rFonts w:ascii="Arial" w:hAnsi="Arial"/>
                <w:color w:val="191919"/>
                <w:sz w:val="16"/>
              </w:rPr>
              <w:t>115</w:t>
            </w:r>
          </w:p>
        </w:tc>
        <w:tc>
          <w:tcPr>
            <w:tcW w:w="464" w:type="dxa"/>
            <w:tcBorders/>
            <w:vAlign w:val="center"/>
          </w:tcPr>
          <w:p>
            <w:pPr>
              <w:pStyle w:val="TableContents"/>
              <w:bidi w:val="0"/>
              <w:spacing w:lineRule="atLeast" w:line="240" w:before="0" w:after="0"/>
              <w:jc w:val="left"/>
              <w:rPr>
                <w:rFonts w:ascii="Arial" w:hAnsi="Arial"/>
                <w:color w:val="191919"/>
                <w:sz w:val="16"/>
              </w:rPr>
            </w:pPr>
            <w:r>
              <w:rPr>
                <w:rFonts w:ascii="Arial" w:hAnsi="Arial"/>
                <w:color w:val="191919"/>
                <w:sz w:val="16"/>
              </w:rPr>
              <w:t>%</w:t>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1249" w:type="dxa"/>
            <w:gridSpan w:val="5"/>
            <w:tcBorders/>
            <w:shd w:fill="EDEDED" w:val="clear"/>
            <w:vAlign w:val="center"/>
          </w:tcPr>
          <w:p>
            <w:pPr>
              <w:pStyle w:val="TableContents"/>
              <w:bidi w:val="0"/>
              <w:spacing w:before="0" w:after="283"/>
              <w:jc w:val="left"/>
              <w:rPr>
                <w:sz w:val="4"/>
                <w:szCs w:val="4"/>
              </w:rPr>
            </w:pPr>
            <w:r>
              <w:rPr>
                <w:sz w:val="4"/>
                <w:szCs w:val="4"/>
              </w:rPr>
            </w:r>
          </w:p>
        </w:tc>
        <w:tc>
          <w:tcPr>
            <w:tcW w:w="1715" w:type="dxa"/>
            <w:gridSpan w:val="5"/>
            <w:tcBorders/>
            <w:shd w:fill="EDEDED" w:val="clear"/>
            <w:vAlign w:val="center"/>
          </w:tcPr>
          <w:p>
            <w:pPr>
              <w:pStyle w:val="TableContents"/>
              <w:bidi w:val="0"/>
              <w:spacing w:before="0" w:after="283"/>
              <w:jc w:val="left"/>
              <w:rPr>
                <w:sz w:val="4"/>
                <w:szCs w:val="4"/>
              </w:rPr>
            </w:pPr>
            <w:r>
              <w:rPr>
                <w:sz w:val="4"/>
                <w:szCs w:val="4"/>
              </w:rPr>
            </w:r>
          </w:p>
        </w:tc>
        <w:tc>
          <w:tcPr>
            <w:tcW w:w="1715" w:type="dxa"/>
            <w:gridSpan w:val="5"/>
            <w:tcBorders/>
            <w:shd w:fill="EDEDED" w:val="clear"/>
            <w:vAlign w:val="center"/>
          </w:tcPr>
          <w:p>
            <w:pPr>
              <w:pStyle w:val="TableContents"/>
              <w:bidi w:val="0"/>
              <w:spacing w:before="0" w:after="283"/>
              <w:jc w:val="left"/>
              <w:rPr>
                <w:sz w:val="4"/>
                <w:szCs w:val="4"/>
              </w:rPr>
            </w:pPr>
            <w:r>
              <w:rPr>
                <w:sz w:val="4"/>
                <w:szCs w:val="4"/>
              </w:rPr>
            </w:r>
          </w:p>
        </w:tc>
        <w:tc>
          <w:tcPr>
            <w:tcW w:w="173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Luke E. Alverson</w:t>
            </w:r>
          </w:p>
        </w:tc>
        <w:tc>
          <w:tcPr>
            <w:tcW w:w="120" w:type="dxa"/>
            <w:tcBorders/>
            <w:shd w:fill="EDEDED" w:val="clear"/>
            <w:vAlign w:val="center"/>
          </w:tcPr>
          <w:p>
            <w:pPr>
              <w:pStyle w:val="TableContents"/>
              <w:bidi w:val="0"/>
              <w:spacing w:before="0" w:after="283"/>
              <w:jc w:val="left"/>
              <w:rPr/>
            </w:pPr>
            <w:r>
              <w:rPr/>
              <w:t>  </w:t>
            </w:r>
          </w:p>
        </w:tc>
        <w:tc>
          <w:tcPr>
            <w:tcW w:w="76" w:type="dxa"/>
            <w:tcBorders/>
            <w:shd w:fill="EDEDED" w:val="clear"/>
            <w:vAlign w:val="center"/>
          </w:tcPr>
          <w:p>
            <w:pPr>
              <w:pStyle w:val="TableContents"/>
              <w:bidi w:val="0"/>
              <w:spacing w:before="0" w:after="283"/>
              <w:jc w:val="left"/>
              <w:rPr/>
            </w:pPr>
            <w:r>
              <w:rPr/>
              <w:t> </w:t>
            </w:r>
          </w:p>
        </w:tc>
        <w:tc>
          <w:tcPr>
            <w:tcW w:w="76"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946" w:type="dxa"/>
            <w:tcBorders/>
            <w:shd w:fill="EDEDED" w:val="clear"/>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528,000</w:t>
            </w:r>
          </w:p>
        </w:tc>
        <w:tc>
          <w:tcPr>
            <w:tcW w:w="31"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pPr>
            <w:r>
              <w:rPr/>
              <w:t>    </w:t>
            </w:r>
          </w:p>
        </w:tc>
        <w:tc>
          <w:tcPr>
            <w:tcW w:w="152" w:type="dxa"/>
            <w:tcBorders/>
            <w:shd w:fill="EDEDED" w:val="clear"/>
            <w:vAlign w:val="center"/>
          </w:tcPr>
          <w:p>
            <w:pPr>
              <w:pStyle w:val="TableContents"/>
              <w:bidi w:val="0"/>
              <w:spacing w:before="0" w:after="283"/>
              <w:jc w:val="left"/>
              <w:rPr/>
            </w:pPr>
            <w:r>
              <w:rPr/>
              <w:t> </w:t>
            </w:r>
          </w:p>
        </w:tc>
        <w:tc>
          <w:tcPr>
            <w:tcW w:w="152"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737" w:type="dxa"/>
            <w:tcBorders/>
            <w:shd w:fill="EDEDED" w:val="clear"/>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120</w:t>
            </w:r>
          </w:p>
        </w:tc>
        <w:tc>
          <w:tcPr>
            <w:tcW w:w="434" w:type="dxa"/>
            <w:tcBorders/>
            <w:shd w:fill="EDEDED" w:val="clear"/>
            <w:vAlign w:val="center"/>
          </w:tcPr>
          <w:p>
            <w:pPr>
              <w:pStyle w:val="TableContents"/>
              <w:bidi w:val="0"/>
              <w:spacing w:lineRule="atLeast" w:line="240" w:before="0" w:after="0"/>
              <w:jc w:val="left"/>
              <w:rPr>
                <w:rFonts w:ascii="Arial" w:hAnsi="Arial"/>
                <w:b/>
                <w:color w:val="191919"/>
                <w:sz w:val="16"/>
              </w:rPr>
            </w:pPr>
            <w:r>
              <w:rPr>
                <w:rFonts w:ascii="Arial" w:hAnsi="Arial"/>
                <w:b/>
                <w:color w:val="191919"/>
                <w:sz w:val="16"/>
              </w:rPr>
              <w:t>%</w:t>
            </w:r>
          </w:p>
        </w:tc>
        <w:tc>
          <w:tcPr>
            <w:tcW w:w="24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1295" w:type="dxa"/>
            <w:tcBorders/>
            <w:shd w:fill="EDEDED" w:val="clear"/>
            <w:vAlign w:val="center"/>
          </w:tcPr>
          <w:p>
            <w:pPr>
              <w:pStyle w:val="TableContents"/>
              <w:bidi w:val="0"/>
              <w:spacing w:lineRule="atLeast" w:line="240" w:before="0" w:after="0"/>
              <w:jc w:val="center"/>
              <w:rPr>
                <w:rFonts w:ascii="Arial" w:hAnsi="Arial"/>
                <w:color w:val="191919"/>
                <w:sz w:val="16"/>
              </w:rPr>
            </w:pPr>
            <w:r>
              <w:rPr>
                <w:rFonts w:ascii="Arial" w:hAnsi="Arial"/>
                <w:color w:val="191919"/>
                <w:sz w:val="16"/>
              </w:rPr>
              <w:t>50% PS /50% RS</w:t>
            </w:r>
          </w:p>
        </w:tc>
        <w:tc>
          <w:tcPr>
            <w:tcW w:w="60"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24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lineRule="atLeast" w:line="240" w:before="0" w:after="0"/>
              <w:jc w:val="left"/>
              <w:rPr>
                <w:color w:val="191919"/>
              </w:rPr>
            </w:pPr>
            <w:r>
              <w:rPr>
                <w:color w:val="191919"/>
              </w:rPr>
              <w:t> </w:t>
            </w:r>
          </w:p>
        </w:tc>
        <w:tc>
          <w:tcPr>
            <w:tcW w:w="726" w:type="dxa"/>
            <w:tcBorders/>
            <w:shd w:fill="EDEDED" w:val="clear"/>
            <w:vAlign w:val="center"/>
          </w:tcPr>
          <w:p>
            <w:pPr>
              <w:pStyle w:val="TableContents"/>
              <w:bidi w:val="0"/>
              <w:spacing w:lineRule="atLeast" w:line="240" w:before="0" w:after="0"/>
              <w:jc w:val="right"/>
              <w:rPr>
                <w:rFonts w:ascii="Arial" w:hAnsi="Arial"/>
                <w:color w:val="191919"/>
                <w:sz w:val="16"/>
              </w:rPr>
            </w:pPr>
            <w:r>
              <w:rPr>
                <w:rFonts w:ascii="Arial" w:hAnsi="Arial"/>
                <w:color w:val="191919"/>
                <w:sz w:val="16"/>
              </w:rPr>
              <w:t>115</w:t>
            </w:r>
          </w:p>
        </w:tc>
        <w:tc>
          <w:tcPr>
            <w:tcW w:w="464" w:type="dxa"/>
            <w:tcBorders/>
            <w:shd w:fill="EDEDED" w:val="clear"/>
            <w:vAlign w:val="center"/>
          </w:tcPr>
          <w:p>
            <w:pPr>
              <w:pStyle w:val="TableContents"/>
              <w:bidi w:val="0"/>
              <w:spacing w:lineRule="atLeast" w:line="240" w:before="0" w:after="0"/>
              <w:jc w:val="left"/>
              <w:rPr>
                <w:rFonts w:ascii="Arial" w:hAnsi="Arial"/>
                <w:color w:val="191919"/>
                <w:sz w:val="16"/>
              </w:rPr>
            </w:pPr>
            <w:r>
              <w:rPr>
                <w:rFonts w:ascii="Arial" w:hAnsi="Arial"/>
                <w:color w:val="191919"/>
                <w:sz w:val="16"/>
              </w:rPr>
              <w:t>%</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1249"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15"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7DB655"/>
            </w:tcBorders>
            <w:tcMar>
              <w:bottom w:w="40" w:type="dxa"/>
            </w:tcMar>
            <w:vAlign w:val="center"/>
          </w:tcPr>
          <w:p>
            <w:pPr>
              <w:pStyle w:val="TableContents"/>
              <w:bidi w:val="0"/>
              <w:spacing w:lineRule="atLeast" w:line="240" w:before="0" w:after="0"/>
              <w:jc w:val="left"/>
              <w:rPr>
                <w:rFonts w:ascii="Arial" w:hAnsi="Arial"/>
                <w:b/>
                <w:color w:val="191919"/>
                <w:sz w:val="17"/>
              </w:rPr>
            </w:pPr>
            <w:r>
              <w:rPr>
                <w:rFonts w:ascii="Arial" w:hAnsi="Arial"/>
                <w:b/>
                <w:color w:val="191919"/>
                <w:sz w:val="17"/>
              </w:rPr>
              <w:t>Danielle R. Garde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76" w:type="dxa"/>
            <w:tcBorders>
              <w:bottom w:val="single" w:sz="6" w:space="0" w:color="7DB655"/>
            </w:tcBorders>
            <w:tcMar>
              <w:bottom w:w="28" w:type="dxa"/>
            </w:tcMar>
            <w:vAlign w:val="center"/>
          </w:tcPr>
          <w:p>
            <w:pPr>
              <w:pStyle w:val="TableContents"/>
              <w:bidi w:val="0"/>
              <w:spacing w:before="0" w:after="283"/>
              <w:jc w:val="left"/>
              <w:rPr/>
            </w:pPr>
            <w:r>
              <w:rPr/>
              <w:t> </w:t>
            </w:r>
          </w:p>
        </w:tc>
        <w:tc>
          <w:tcPr>
            <w:tcW w:w="76" w:type="dxa"/>
            <w:tcBorders>
              <w:bottom w:val="single" w:sz="6" w:space="0" w:color="7DB655"/>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946" w:type="dxa"/>
            <w:tcBorders>
              <w:bottom w:val="single" w:sz="6" w:space="0" w:color="7DB655"/>
            </w:tcBorders>
            <w:tcMar>
              <w:bottom w:w="40" w:type="dxa"/>
            </w:tcMar>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528,000</w:t>
            </w:r>
          </w:p>
        </w:tc>
        <w:tc>
          <w:tcPr>
            <w:tcW w:w="31"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152" w:type="dxa"/>
            <w:tcBorders>
              <w:bottom w:val="single" w:sz="6" w:space="0" w:color="7DB655"/>
            </w:tcBorders>
            <w:tcMar>
              <w:bottom w:w="28" w:type="dxa"/>
            </w:tcMar>
            <w:vAlign w:val="center"/>
          </w:tcPr>
          <w:p>
            <w:pPr>
              <w:pStyle w:val="TableContents"/>
              <w:bidi w:val="0"/>
              <w:spacing w:before="0" w:after="283"/>
              <w:jc w:val="left"/>
              <w:rPr/>
            </w:pPr>
            <w:r>
              <w:rPr/>
              <w:t> </w:t>
            </w:r>
          </w:p>
        </w:tc>
        <w:tc>
          <w:tcPr>
            <w:tcW w:w="152" w:type="dxa"/>
            <w:tcBorders>
              <w:bottom w:val="single" w:sz="6" w:space="0" w:color="7DB655"/>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37" w:type="dxa"/>
            <w:tcBorders>
              <w:bottom w:val="single" w:sz="6" w:space="0" w:color="7DB655"/>
            </w:tcBorders>
            <w:tcMar>
              <w:bottom w:w="40" w:type="dxa"/>
            </w:tcMar>
            <w:vAlign w:val="center"/>
          </w:tcPr>
          <w:p>
            <w:pPr>
              <w:pStyle w:val="TableContents"/>
              <w:bidi w:val="0"/>
              <w:spacing w:lineRule="atLeast" w:line="240" w:before="0" w:after="0"/>
              <w:jc w:val="right"/>
              <w:rPr>
                <w:rFonts w:ascii="Arial" w:hAnsi="Arial"/>
                <w:b/>
                <w:color w:val="191919"/>
                <w:sz w:val="16"/>
              </w:rPr>
            </w:pPr>
            <w:r>
              <w:rPr>
                <w:rFonts w:ascii="Arial" w:hAnsi="Arial"/>
                <w:b/>
                <w:color w:val="191919"/>
                <w:sz w:val="16"/>
              </w:rPr>
              <w:t>120</w:t>
            </w:r>
          </w:p>
        </w:tc>
        <w:tc>
          <w:tcPr>
            <w:tcW w:w="434" w:type="dxa"/>
            <w:tcBorders>
              <w:bottom w:val="single" w:sz="6" w:space="0" w:color="7DB655"/>
            </w:tcBorders>
            <w:tcMar>
              <w:bottom w:w="40" w:type="dxa"/>
            </w:tcMar>
            <w:vAlign w:val="center"/>
          </w:tcPr>
          <w:p>
            <w:pPr>
              <w:pStyle w:val="TableContents"/>
              <w:bidi w:val="0"/>
              <w:spacing w:lineRule="atLeast" w:line="240" w:before="0" w:after="0"/>
              <w:jc w:val="left"/>
              <w:rPr>
                <w:rFonts w:ascii="Arial" w:hAnsi="Arial"/>
                <w:b/>
                <w:color w:val="191919"/>
                <w:sz w:val="16"/>
              </w:rPr>
            </w:pPr>
            <w:r>
              <w:rPr>
                <w:rFonts w:ascii="Arial" w:hAnsi="Arial"/>
                <w:b/>
                <w:color w:val="191919"/>
                <w:sz w:val="16"/>
              </w:rPr>
              <w:t>%</w:t>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1295" w:type="dxa"/>
            <w:tcBorders>
              <w:bottom w:val="single" w:sz="6" w:space="0" w:color="7DB655"/>
            </w:tcBorders>
            <w:tcMar>
              <w:bottom w:w="40" w:type="dxa"/>
            </w:tcMar>
            <w:vAlign w:val="center"/>
          </w:tcPr>
          <w:p>
            <w:pPr>
              <w:pStyle w:val="TableContents"/>
              <w:bidi w:val="0"/>
              <w:spacing w:lineRule="atLeast" w:line="240" w:before="0" w:after="0"/>
              <w:jc w:val="center"/>
              <w:rPr>
                <w:rFonts w:ascii="Arial" w:hAnsi="Arial"/>
                <w:color w:val="191919"/>
                <w:sz w:val="16"/>
              </w:rPr>
            </w:pPr>
            <w:r>
              <w:rPr>
                <w:rFonts w:ascii="Arial" w:hAnsi="Arial"/>
                <w:color w:val="191919"/>
                <w:sz w:val="16"/>
              </w:rPr>
              <w:t>50% PS /50% RS</w:t>
            </w:r>
          </w:p>
        </w:tc>
        <w:tc>
          <w:tcPr>
            <w:tcW w:w="60" w:type="dxa"/>
            <w:tcBorders>
              <w:bottom w:val="single" w:sz="6" w:space="0" w:color="7DB655"/>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 w:type="dxa"/>
            <w:tcBorders>
              <w:bottom w:val="single" w:sz="6" w:space="0" w:color="7DB655"/>
            </w:tcBorders>
            <w:tcMar>
              <w:bottom w:w="40" w:type="dxa"/>
            </w:tcMar>
            <w:vAlign w:val="center"/>
          </w:tcPr>
          <w:p>
            <w:pPr>
              <w:pStyle w:val="TableContents"/>
              <w:bidi w:val="0"/>
              <w:spacing w:lineRule="atLeast" w:line="240" w:before="0" w:after="0"/>
              <w:jc w:val="left"/>
              <w:rPr>
                <w:color w:val="191919"/>
              </w:rPr>
            </w:pPr>
            <w:r>
              <w:rPr>
                <w:color w:val="191919"/>
              </w:rPr>
              <w:t> </w:t>
            </w:r>
          </w:p>
        </w:tc>
        <w:tc>
          <w:tcPr>
            <w:tcW w:w="726" w:type="dxa"/>
            <w:tcBorders>
              <w:bottom w:val="single" w:sz="6" w:space="0" w:color="7DB655"/>
            </w:tcBorders>
            <w:tcMar>
              <w:bottom w:w="40" w:type="dxa"/>
            </w:tcMar>
            <w:vAlign w:val="center"/>
          </w:tcPr>
          <w:p>
            <w:pPr>
              <w:pStyle w:val="TableContents"/>
              <w:bidi w:val="0"/>
              <w:spacing w:lineRule="atLeast" w:line="240" w:before="0" w:after="0"/>
              <w:jc w:val="right"/>
              <w:rPr>
                <w:rFonts w:ascii="Arial" w:hAnsi="Arial"/>
                <w:color w:val="191919"/>
                <w:sz w:val="16"/>
              </w:rPr>
            </w:pPr>
            <w:r>
              <w:rPr>
                <w:rFonts w:ascii="Arial" w:hAnsi="Arial"/>
                <w:color w:val="191919"/>
                <w:sz w:val="16"/>
              </w:rPr>
              <w:t>115</w:t>
            </w:r>
          </w:p>
        </w:tc>
        <w:tc>
          <w:tcPr>
            <w:tcW w:w="464" w:type="dxa"/>
            <w:tcBorders>
              <w:bottom w:val="single" w:sz="6" w:space="0" w:color="7DB655"/>
            </w:tcBorders>
            <w:tcMar>
              <w:bottom w:w="40" w:type="dxa"/>
            </w:tcMar>
            <w:vAlign w:val="center"/>
          </w:tcPr>
          <w:p>
            <w:pPr>
              <w:pStyle w:val="TableContents"/>
              <w:bidi w:val="0"/>
              <w:spacing w:lineRule="atLeast" w:line="240" w:before="0" w:after="0"/>
              <w:jc w:val="left"/>
              <w:rPr>
                <w:rFonts w:ascii="Arial" w:hAnsi="Arial"/>
                <w:color w:val="191919"/>
                <w:sz w:val="16"/>
              </w:rPr>
            </w:pPr>
            <w:r>
              <w:rPr>
                <w:rFonts w:ascii="Arial" w:hAnsi="Arial"/>
                <w:color w:val="191919"/>
                <w:sz w:val="16"/>
              </w:rPr>
              <w:t>%</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3110230" cy="1183005"/>
                <wp:effectExtent l="0" t="0" r="0" b="0"/>
                <wp:wrapSquare wrapText="right"/>
                <wp:docPr id="338" name="Frame23"/>
                <a:graphic xmlns:a="http://schemas.openxmlformats.org/drawingml/2006/main">
                  <a:graphicData uri="http://schemas.microsoft.com/office/word/2010/wordprocessingShape">
                    <wps:wsp>
                      <wps:cNvSpPr txBox="1"/>
                      <wps:spPr>
                        <a:xfrm>
                          <a:off x="0" y="0"/>
                          <a:ext cx="3110230" cy="1183005"/>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In reviewing the NEO’s LTIP target opportunities for fiscal 2026, the Compensation Committee largely maintained existing LTIP target percentages, with the exception of Mr. Armes and Mr. Underwood, whose targets were adjusted based on proximity to market benchmarks and consistent with demonstrated performance. As adjusted, the Compensation Committee determined that LTIP targets for NEOs were within acceptable proximity to market benchmarks and provided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In reviewing the NEO’s LTIP target opportunities for fiscal 2026, the Compensation Committee largely maintained existing LTIP target percentages, with the exception of Mr. Armes and Mr. Underwood, whose targets were adjusted based on proximity to market benchmarks and consistent with demonstrated performance. As adjusted, the Compensation Committee determined that LTIP targets for NEOs were within acceptable proximity to market benchmarks and provided </w:t>
                      </w:r>
                    </w:p>
                  </w:txbxContent>
                </v:textbox>
                <w10:wrap type="square" side="right"/>
              </v:rect>
            </w:pict>
          </mc:Fallback>
        </mc:AlternateConten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3175000" cy="1051560"/>
                <wp:effectExtent l="0" t="0" r="0" b="0"/>
                <wp:wrapSquare wrapText="right"/>
                <wp:docPr id="339" name="Frame24"/>
                <a:graphic xmlns:a="http://schemas.openxmlformats.org/drawingml/2006/main">
                  <a:graphicData uri="http://schemas.microsoft.com/office/word/2010/wordprocessingShape">
                    <wps:wsp>
                      <wps:cNvSpPr txBox="1"/>
                      <wps:spPr>
                        <a:xfrm>
                          <a:off x="0" y="0"/>
                          <a:ext cx="3175000" cy="105156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performance-based compensation and “at risk” pay consistent with our objectives. Additionally, the Compensation Committee desired to maintain an increased level of performance-based compensation for Mr. Armes, informed by our compensation philosophy and market practices. As such, Mr. Armes’ target performance share award allocation was maintained at 60%, and his target restricted stock award allocation was maintained at 40%, of total LTIP.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2.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performance-based compensation and “at risk” pay consistent with our objectives. Additionally, the Compensation Committee desired to maintain an increased level of performance-based compensation for Mr. Armes, informed by our compensation philosophy and market practices. As such, Mr. Armes’ target performance share award allocation was maintained at 60%, and his target restricted stock award allocation was maintained at 40%, of total LTIP. </w:t>
                      </w:r>
                    </w:p>
                  </w:txbxContent>
                </v:textbox>
                <w10:wrap type="square" side="right"/>
              </v:rect>
            </w:pict>
          </mc:Fallback>
        </mc:AlternateConten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40"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4" descr=""/>
                          <pic:cNvPicPr>
                            <a:picLocks noChangeAspect="1" noChangeArrowheads="1"/>
                          </pic:cNvPicPr>
                        </pic:nvPicPr>
                        <pic:blipFill>
                          <a:blip r:embed="rId317"/>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color w:val="191919"/>
        </w:rPr>
      </w:pPr>
      <w:r>
        <w:rPr>
          <w:color w:val="191919"/>
        </w:rPr>
        <w:t xml:space="preserve">  </w:t>
      </w:r>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C</w:t>
      </w:r>
    </w:p>
    <w:p>
      <w:pPr>
        <w:pStyle w:val="TextBody"/>
        <w:bidi w:val="0"/>
        <w:spacing w:before="0" w:after="0"/>
        <w:jc w:val="right"/>
        <w:rPr>
          <w:rFonts w:ascii="Arial" w:hAnsi="Arial"/>
          <w:sz w:val="16"/>
        </w:rPr>
      </w:pPr>
      <w:r>
        <w:rPr>
          <w:rFonts w:ascii="Arial" w:hAnsi="Arial"/>
          <w:sz w:val="16"/>
        </w:rPr>
        <w:t>o</w:t>
      </w:r>
    </w:p>
    <w:p>
      <w:pPr>
        <w:pStyle w:val="TextBody"/>
        <w:bidi w:val="0"/>
        <w:spacing w:before="0" w:after="0"/>
        <w:jc w:val="right"/>
        <w:rPr>
          <w:rFonts w:ascii="Arial" w:hAnsi="Arial"/>
          <w:sz w:val="16"/>
        </w:rPr>
      </w:pPr>
      <w:r>
        <w:rPr>
          <w:rFonts w:ascii="Arial" w:hAnsi="Arial"/>
          <w:sz w:val="16"/>
        </w:rPr>
        <w:t>m</w:t>
      </w:r>
    </w:p>
    <w:p>
      <w:pPr>
        <w:pStyle w:val="TextBody"/>
        <w:bidi w:val="0"/>
        <w:spacing w:before="0" w:after="0"/>
        <w:jc w:val="right"/>
        <w:rPr>
          <w:rFonts w:ascii="Arial" w:hAnsi="Arial"/>
          <w:sz w:val="16"/>
        </w:rPr>
      </w:pPr>
      <w:r>
        <w:rPr>
          <w:rFonts w:ascii="Arial" w:hAnsi="Arial"/>
          <w:sz w:val="16"/>
        </w:rPr>
        <w:t>pens</w:t>
      </w:r>
    </w:p>
    <w:p>
      <w:pPr>
        <w:pStyle w:val="TextBody"/>
        <w:bidi w:val="0"/>
        <w:spacing w:before="0" w:after="0"/>
        <w:jc w:val="right"/>
        <w:rPr>
          <w:rFonts w:ascii="Arial" w:hAnsi="Arial"/>
          <w:sz w:val="16"/>
        </w:rPr>
      </w:pPr>
      <w:r>
        <w:rPr>
          <w:rFonts w:ascii="Arial" w:hAnsi="Arial"/>
          <w:sz w:val="16"/>
        </w:rPr>
        <w:t xml:space="preserve">ation Discussion and Analysis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3110230" cy="3328035"/>
                <wp:effectExtent l="0" t="0" r="0" b="0"/>
                <wp:wrapSquare wrapText="right"/>
                <wp:docPr id="341" name="Frame25"/>
                <a:graphic xmlns:a="http://schemas.openxmlformats.org/drawingml/2006/main">
                  <a:graphicData uri="http://schemas.microsoft.com/office/word/2010/wordprocessingShape">
                    <wps:wsp>
                      <wps:cNvSpPr txBox="1"/>
                      <wps:spPr>
                        <a:xfrm>
                          <a:off x="0" y="0"/>
                          <a:ext cx="3110230" cy="3328035"/>
                        </a:xfrm>
                        <a:prstGeom prst="rect"/>
                        <a:solidFill>
                          <a:srgbClr val="FFFFFF"/>
                        </a:solidFill>
                      </wps:spPr>
                      <wps:txbx>
                        <w:txbxContent>
                          <w:p>
                            <w:pPr>
                              <w:pStyle w:val="TextBody"/>
                              <w:bidi w:val="0"/>
                              <w:spacing w:before="0" w:after="0"/>
                              <w:jc w:val="left"/>
                              <w:rPr>
                                <w:rFonts w:ascii="Arial" w:hAnsi="Arial"/>
                                <w:b/>
                                <w:i/>
                                <w:color w:val="191919"/>
                                <w:sz w:val="18"/>
                              </w:rPr>
                            </w:pPr>
                            <w:r>
                              <w:rPr>
                                <w:rFonts w:ascii="Arial" w:hAnsi="Arial"/>
                                <w:b/>
                                <w:i/>
                                <w:color w:val="191919"/>
                                <w:sz w:val="18"/>
                              </w:rPr>
                              <w:t>Burn Rates and Dilution</w:t>
                            </w:r>
                          </w:p>
                          <w:p>
                            <w:pPr>
                              <w:pStyle w:val="TextBody"/>
                              <w:bidi w:val="0"/>
                              <w:spacing w:before="0" w:after="0"/>
                              <w:jc w:val="left"/>
                              <w:rPr>
                                <w:rFonts w:ascii="Arial" w:hAnsi="Arial"/>
                                <w:color w:val="191919"/>
                                <w:sz w:val="18"/>
                              </w:rPr>
                            </w:pPr>
                            <w:r>
                              <w:rPr>
                                <w:rFonts w:ascii="Arial" w:hAnsi="Arial"/>
                                <w:color w:val="191919"/>
                                <w:sz w:val="18"/>
                              </w:rPr>
                              <w:t xml:space="preserve">. The Compensation Committee also evaluates the impact of LTIP target opportunities and actual awards on “burn rates,” which measures the annual dilutive effect on our common stock resulting from shares awarded under our LTIP or otherwise. Generally, the Compensation Committee targets a Company-wide unadjusted “burn rate” of 1.0% or less for all annual grants of equity awards to all participants. Our equity granting practices have stayed well below this target every year since the Company’s inception, and the fiscal 2026 LTIP target opportunities established by the Compensation Committee ensured this practice continued. </w:t>
                            </w:r>
                          </w:p>
                          <w:p>
                            <w:pPr>
                              <w:pStyle w:val="TextBody"/>
                              <w:bidi w:val="0"/>
                              <w:spacing w:before="240" w:after="0"/>
                              <w:jc w:val="left"/>
                              <w:rPr>
                                <w:rFonts w:ascii="Arial" w:hAnsi="Arial"/>
                                <w:b/>
                                <w:i/>
                                <w:color w:val="191919"/>
                                <w:sz w:val="18"/>
                              </w:rPr>
                            </w:pPr>
                            <w:r>
                              <w:rPr>
                                <w:rFonts w:ascii="Arial" w:hAnsi="Arial"/>
                                <w:b/>
                                <w:i/>
                                <w:color w:val="191919"/>
                                <w:sz w:val="18"/>
                              </w:rPr>
                              <w:t>Equity Grant Timing and Valuation.</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grants equity awards to NEOs at two points during the year: performance shares are granted in the first quarter of our fiscal year, and restricted stock is granted on or about October 1 (the middle of our fiscal year). The Compensation Committee does not grant equity awards to NEOs or other LTIP participants in anticipation of the release of material nonpublic information. Additionally, the Company does not time the release of material nonpublic information based on the grant date of equity awards.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2.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i/>
                          <w:color w:val="191919"/>
                          <w:sz w:val="18"/>
                        </w:rPr>
                      </w:pPr>
                      <w:r>
                        <w:rPr>
                          <w:rFonts w:ascii="Arial" w:hAnsi="Arial"/>
                          <w:b/>
                          <w:i/>
                          <w:color w:val="191919"/>
                          <w:sz w:val="18"/>
                        </w:rPr>
                        <w:t>Burn Rates and Dilution</w:t>
                      </w:r>
                    </w:p>
                    <w:p>
                      <w:pPr>
                        <w:pStyle w:val="TextBody"/>
                        <w:bidi w:val="0"/>
                        <w:spacing w:before="0" w:after="0"/>
                        <w:jc w:val="left"/>
                        <w:rPr>
                          <w:rFonts w:ascii="Arial" w:hAnsi="Arial"/>
                          <w:color w:val="191919"/>
                          <w:sz w:val="18"/>
                        </w:rPr>
                      </w:pPr>
                      <w:r>
                        <w:rPr>
                          <w:rFonts w:ascii="Arial" w:hAnsi="Arial"/>
                          <w:color w:val="191919"/>
                          <w:sz w:val="18"/>
                        </w:rPr>
                        <w:t xml:space="preserve">. The Compensation Committee also evaluates the impact of LTIP target opportunities and actual awards on “burn rates,” which measures the annual dilutive effect on our common stock resulting from shares awarded under our LTIP or otherwise. Generally, the Compensation Committee targets a Company-wide unadjusted “burn rate” of 1.0% or less for all annual grants of equity awards to all participants. Our equity granting practices have stayed well below this target every year since the Company’s inception, and the fiscal 2026 LTIP target opportunities established by the Compensation Committee ensured this practice continued. </w:t>
                      </w:r>
                    </w:p>
                    <w:p>
                      <w:pPr>
                        <w:pStyle w:val="TextBody"/>
                        <w:bidi w:val="0"/>
                        <w:spacing w:before="240" w:after="0"/>
                        <w:jc w:val="left"/>
                        <w:rPr>
                          <w:rFonts w:ascii="Arial" w:hAnsi="Arial"/>
                          <w:b/>
                          <w:i/>
                          <w:color w:val="191919"/>
                          <w:sz w:val="18"/>
                        </w:rPr>
                      </w:pPr>
                      <w:r>
                        <w:rPr>
                          <w:rFonts w:ascii="Arial" w:hAnsi="Arial"/>
                          <w:b/>
                          <w:i/>
                          <w:color w:val="191919"/>
                          <w:sz w:val="18"/>
                        </w:rPr>
                        <w:t>Equity Grant Timing and Valuation.</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grants equity awards to NEOs at two points during the year: performance shares are granted in the first quarter of our fiscal year, and restricted stock is granted on or about October 1 (the middle of our fiscal year). The Compensation Committee does not grant equity awards to NEOs or other LTIP participants in anticipation of the release of material nonpublic information. Additionally, the Company does not time the release of material nonpublic information based on the grant date of equity awards. </w:t>
                      </w:r>
                    </w:p>
                  </w:txbxContent>
                </v:textbox>
                <w10:wrap type="square" side="right"/>
              </v:rect>
            </w:pict>
          </mc:Fallback>
        </mc:AlternateConten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3175000" cy="2649855"/>
                <wp:effectExtent l="0" t="0" r="0" b="0"/>
                <wp:wrapSquare wrapText="right"/>
                <wp:docPr id="342" name="Frame26"/>
                <a:graphic xmlns:a="http://schemas.openxmlformats.org/drawingml/2006/main">
                  <a:graphicData uri="http://schemas.microsoft.com/office/word/2010/wordprocessingShape">
                    <wps:wsp>
                      <wps:cNvSpPr txBox="1"/>
                      <wps:spPr>
                        <a:xfrm>
                          <a:off x="0" y="0"/>
                          <a:ext cx="3175000" cy="2649855"/>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 material terms and conditions of these equity awards are determined under the provisions of our existing equity compensation plan, which is available on the Company’s website at </w:t>
                            </w:r>
                          </w:p>
                          <w:p>
                            <w:pPr>
                              <w:pStyle w:val="TextBody"/>
                              <w:bidi w:val="0"/>
                              <w:spacing w:before="0" w:after="0"/>
                              <w:jc w:val="left"/>
                              <w:rPr>
                                <w:rFonts w:ascii="Arial" w:hAnsi="Arial"/>
                                <w:b/>
                                <w:color w:val="191919"/>
                                <w:sz w:val="18"/>
                              </w:rPr>
                            </w:pPr>
                            <w:r>
                              <w:rPr>
                                <w:rFonts w:ascii="Arial" w:hAnsi="Arial"/>
                                <w:b/>
                                <w:color w:val="191919"/>
                                <w:sz w:val="18"/>
                              </w:rPr>
                              <w:t xml:space="preserve">www.csw.com </w:t>
                            </w:r>
                          </w:p>
                          <w:p>
                            <w:pPr>
                              <w:pStyle w:val="TextBody"/>
                              <w:bidi w:val="0"/>
                              <w:spacing w:before="0" w:after="0"/>
                              <w:jc w:val="left"/>
                              <w:rPr>
                                <w:rFonts w:ascii="Arial" w:hAnsi="Arial"/>
                                <w:color w:val="191919"/>
                                <w:sz w:val="18"/>
                              </w:rPr>
                            </w:pPr>
                            <w:r>
                              <w:rPr>
                                <w:rFonts w:ascii="Arial" w:hAnsi="Arial"/>
                                <w:color w:val="191919"/>
                                <w:sz w:val="18"/>
                              </w:rPr>
                              <w:t xml:space="preserve">under “Investors —Financial Reports and Filings.” </w:t>
                            </w:r>
                          </w:p>
                          <w:p>
                            <w:pPr>
                              <w:pStyle w:val="TextBody"/>
                              <w:bidi w:val="0"/>
                              <w:spacing w:before="240" w:after="0"/>
                              <w:jc w:val="left"/>
                              <w:rPr>
                                <w:rFonts w:ascii="Arial" w:hAnsi="Arial"/>
                                <w:color w:val="191919"/>
                                <w:sz w:val="18"/>
                              </w:rPr>
                            </w:pPr>
                            <w:r>
                              <w:rPr>
                                <w:rFonts w:ascii="Arial" w:hAnsi="Arial"/>
                                <w:color w:val="191919"/>
                                <w:sz w:val="18"/>
                              </w:rPr>
                              <w:t xml:space="preserve">The grant date fair values of the performance share and restricted stock awards granted to the NEOs during fiscal 2026, calculated in accordance with U.S. GAAP pursuant to Financial Accounting Standards Board (“FASB”) Accounting Standards Codification (“ASC”) 718, “Compensation—Stock Compensation,” are shown in the “Summary Compensation Table” under the “Stock Awards” column and the accompanying footnotes. The actual award values of the equity awards at grant differ from the “grant date fair value” disclosed in the Summary Compensation Table due to the required accounting methodology, as discussed in footnote 2. Additional information on the awards granted in fiscal 2026 is shown in the “2026 Grants of Plan-Based Awards” table.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8.6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 material terms and conditions of these equity awards are determined under the provisions of our existing equity compensation plan, which is available on the Company’s website at </w:t>
                      </w:r>
                    </w:p>
                    <w:p>
                      <w:pPr>
                        <w:pStyle w:val="TextBody"/>
                        <w:bidi w:val="0"/>
                        <w:spacing w:before="0" w:after="0"/>
                        <w:jc w:val="left"/>
                        <w:rPr>
                          <w:rFonts w:ascii="Arial" w:hAnsi="Arial"/>
                          <w:b/>
                          <w:color w:val="191919"/>
                          <w:sz w:val="18"/>
                        </w:rPr>
                      </w:pPr>
                      <w:r>
                        <w:rPr>
                          <w:rFonts w:ascii="Arial" w:hAnsi="Arial"/>
                          <w:b/>
                          <w:color w:val="191919"/>
                          <w:sz w:val="18"/>
                        </w:rPr>
                        <w:t xml:space="preserve">www.csw.com </w:t>
                      </w:r>
                    </w:p>
                    <w:p>
                      <w:pPr>
                        <w:pStyle w:val="TextBody"/>
                        <w:bidi w:val="0"/>
                        <w:spacing w:before="0" w:after="0"/>
                        <w:jc w:val="left"/>
                        <w:rPr>
                          <w:rFonts w:ascii="Arial" w:hAnsi="Arial"/>
                          <w:color w:val="191919"/>
                          <w:sz w:val="18"/>
                        </w:rPr>
                      </w:pPr>
                      <w:r>
                        <w:rPr>
                          <w:rFonts w:ascii="Arial" w:hAnsi="Arial"/>
                          <w:color w:val="191919"/>
                          <w:sz w:val="18"/>
                        </w:rPr>
                        <w:t xml:space="preserve">under “Investors —Financial Reports and Filings.” </w:t>
                      </w:r>
                    </w:p>
                    <w:p>
                      <w:pPr>
                        <w:pStyle w:val="TextBody"/>
                        <w:bidi w:val="0"/>
                        <w:spacing w:before="240" w:after="0"/>
                        <w:jc w:val="left"/>
                        <w:rPr>
                          <w:rFonts w:ascii="Arial" w:hAnsi="Arial"/>
                          <w:color w:val="191919"/>
                          <w:sz w:val="18"/>
                        </w:rPr>
                      </w:pPr>
                      <w:r>
                        <w:rPr>
                          <w:rFonts w:ascii="Arial" w:hAnsi="Arial"/>
                          <w:color w:val="191919"/>
                          <w:sz w:val="18"/>
                        </w:rPr>
                        <w:t xml:space="preserve">The grant date fair values of the performance share and restricted stock awards granted to the NEOs during fiscal 2026, calculated in accordance with U.S. GAAP pursuant to Financial Accounting Standards Board (“FASB”) Accounting Standards Codification (“ASC”) 718, “Compensation—Stock Compensation,” are shown in the “Summary Compensation Table” under the “Stock Awards” column and the accompanying footnotes. The actual award values of the equity awards at grant differ from the “grant date fair value” disclosed in the Summary Compensation Table due to the required accounting methodology, as discussed in footnote 2. Additional information on the awards granted in fiscal 2026 is shown in the “2026 Grants of Plan-Based Awards” table. </w:t>
                      </w:r>
                    </w:p>
                  </w:txbxContent>
                </v:textbox>
                <w10:wrap type="square" side="right"/>
              </v:rect>
            </w:pict>
          </mc:Fallback>
        </mc:AlternateContent>
      </w:r>
    </w:p>
    <w:p>
      <w:pPr>
        <w:pStyle w:val="TextBody"/>
        <w:bidi w:val="0"/>
        <w:spacing w:before="0" w:after="0"/>
        <w:jc w:val="left"/>
        <w:rPr>
          <w:rFonts w:ascii="Arial" w:hAnsi="Arial"/>
          <w:b/>
          <w:color w:val="191919"/>
          <w:sz w:val="26"/>
        </w:rPr>
      </w:pPr>
      <w:r>
        <w:rPr>
          <w:rFonts w:ascii="Arial" w:hAnsi="Arial"/>
          <w:b/>
          <w:color w:val="191919"/>
          <w:sz w:val="26"/>
        </w:rPr>
        <w:t xml:space="preserve">Restricted Stock Awards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3110230" cy="2103120"/>
                <wp:effectExtent l="0" t="0" r="0" b="0"/>
                <wp:wrapSquare wrapText="right"/>
                <wp:docPr id="343" name="Frame27"/>
                <a:graphic xmlns:a="http://schemas.openxmlformats.org/drawingml/2006/main">
                  <a:graphicData uri="http://schemas.microsoft.com/office/word/2010/wordprocessingShape">
                    <wps:wsp>
                      <wps:cNvSpPr txBox="1"/>
                      <wps:spPr>
                        <a:xfrm>
                          <a:off x="0" y="0"/>
                          <a:ext cx="3110230" cy="2103120"/>
                        </a:xfrm>
                        <a:prstGeom prst="rect"/>
                        <a:solidFill>
                          <a:srgbClr val="FFFFFF"/>
                        </a:solidFill>
                      </wps:spPr>
                      <wps:txbx>
                        <w:txbxContent>
                          <w:p>
                            <w:pPr>
                              <w:pStyle w:val="TextBody"/>
                              <w:bidi w:val="0"/>
                              <w:spacing w:before="0" w:after="0"/>
                              <w:jc w:val="left"/>
                              <w:rPr>
                                <w:rFonts w:ascii="Arial" w:hAnsi="Arial"/>
                                <w:b/>
                                <w:i/>
                                <w:color w:val="191919"/>
                                <w:sz w:val="18"/>
                              </w:rPr>
                            </w:pPr>
                            <w:r>
                              <w:rPr>
                                <w:rFonts w:ascii="Arial" w:hAnsi="Arial"/>
                                <w:b/>
                                <w:i/>
                                <w:color w:val="191919"/>
                                <w:sz w:val="18"/>
                              </w:rPr>
                              <w:t>Award Design</w:t>
                            </w:r>
                          </w:p>
                          <w:p>
                            <w:pPr>
                              <w:pStyle w:val="TextBody"/>
                              <w:bidi w:val="0"/>
                              <w:spacing w:before="0" w:after="0"/>
                              <w:jc w:val="left"/>
                              <w:rPr>
                                <w:rFonts w:ascii="Arial" w:hAnsi="Arial"/>
                                <w:color w:val="191919"/>
                                <w:sz w:val="18"/>
                              </w:rPr>
                            </w:pPr>
                            <w:r>
                              <w:rPr>
                                <w:rFonts w:ascii="Arial" w:hAnsi="Arial"/>
                                <w:color w:val="191919"/>
                                <w:sz w:val="18"/>
                              </w:rPr>
                              <w:t xml:space="preserve">. Restricted stock awards in fiscal 2026 maintained all of the design characteristics of the prior year and were otherwise unchanged. The awards vest ratably over a three-year period, delivering a meaningful long-term incentive that balances risk and potential reward. These awards help executives build ownership in the Company, aligning their interests with shareholders, and serve as an effective retention tool, encouraging our executive officers to remain with the Company and perform at high levels. Restricted stock awards are variable compensation, and the Compensation Committee considers them to be “at risk”—no compensation is realized when awards are made, the awards are subject to forfeiture based on employment status, and their future value to the executive is directly determined by the Company’s stock price.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5.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color w:val="191919"/>
                          <w:sz w:val="18"/>
                        </w:rPr>
                      </w:pPr>
                      <w:r>
                        <w:rPr>
                          <w:rFonts w:ascii="Arial" w:hAnsi="Arial"/>
                          <w:b/>
                          <w:i/>
                          <w:color w:val="191919"/>
                          <w:sz w:val="18"/>
                        </w:rPr>
                        <w:t>Award Design</w:t>
                      </w:r>
                    </w:p>
                    <w:p>
                      <w:pPr>
                        <w:pStyle w:val="TextBody"/>
                        <w:bidi w:val="0"/>
                        <w:spacing w:before="0" w:after="0"/>
                        <w:jc w:val="left"/>
                        <w:rPr>
                          <w:rFonts w:ascii="Arial" w:hAnsi="Arial"/>
                          <w:color w:val="191919"/>
                          <w:sz w:val="18"/>
                        </w:rPr>
                      </w:pPr>
                      <w:r>
                        <w:rPr>
                          <w:rFonts w:ascii="Arial" w:hAnsi="Arial"/>
                          <w:color w:val="191919"/>
                          <w:sz w:val="18"/>
                        </w:rPr>
                        <w:t xml:space="preserve">. Restricted stock awards in fiscal 2026 maintained all of the design characteristics of the prior year and were otherwise unchanged. The awards vest ratably over a three-year period, delivering a meaningful long-term incentive that balances risk and potential reward. These awards help executives build ownership in the Company, aligning their interests with shareholders, and serve as an effective retention tool, encouraging our executive officers to remain with the Company and perform at high levels. Restricted stock awards are variable compensation, and the Compensation Committee considers them to be “at risk”—no compensation is realized when awards are made, the awards are subject to forfeiture based on employment status, and their future value to the executive is directly determined by the Company’s stock price. </w:t>
                      </w:r>
                    </w:p>
                  </w:txbxContent>
                </v:textbox>
                <w10:wrap type="square" side="right"/>
              </v:rect>
            </w:pict>
          </mc:Fallback>
        </mc:AlternateConten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3175000" cy="2255520"/>
                <wp:effectExtent l="0" t="0" r="0" b="0"/>
                <wp:wrapSquare wrapText="right"/>
                <wp:docPr id="344" name="Frame28"/>
                <a:graphic xmlns:a="http://schemas.openxmlformats.org/drawingml/2006/main">
                  <a:graphicData uri="http://schemas.microsoft.com/office/word/2010/wordprocessingShape">
                    <wps:wsp>
                      <wps:cNvSpPr txBox="1"/>
                      <wps:spPr>
                        <a:xfrm>
                          <a:off x="0" y="0"/>
                          <a:ext cx="3175000" cy="2255520"/>
                        </a:xfrm>
                        <a:prstGeom prst="rect"/>
                        <a:solidFill>
                          <a:srgbClr val="FFFFFF"/>
                        </a:solidFill>
                      </wps:spPr>
                      <wps:txbx>
                        <w:txbxContent>
                          <w:p>
                            <w:pPr>
                              <w:pStyle w:val="TextBody"/>
                              <w:bidi w:val="0"/>
                              <w:spacing w:before="0" w:after="0"/>
                              <w:jc w:val="left"/>
                              <w:rPr>
                                <w:rFonts w:ascii="Arial" w:hAnsi="Arial"/>
                                <w:b/>
                                <w:i/>
                                <w:color w:val="191919"/>
                                <w:sz w:val="18"/>
                              </w:rPr>
                            </w:pPr>
                            <w:r>
                              <w:rPr>
                                <w:rFonts w:ascii="Arial" w:hAnsi="Arial"/>
                                <w:b/>
                                <w:i/>
                                <w:color w:val="191919"/>
                                <w:sz w:val="18"/>
                              </w:rPr>
                              <w:t>Valuation and Other Terms</w:t>
                            </w:r>
                          </w:p>
                          <w:p>
                            <w:pPr>
                              <w:pStyle w:val="TextBody"/>
                              <w:bidi w:val="0"/>
                              <w:spacing w:before="0" w:after="0"/>
                              <w:jc w:val="left"/>
                              <w:rPr>
                                <w:rFonts w:ascii="Arial" w:hAnsi="Arial"/>
                                <w:color w:val="191919"/>
                                <w:sz w:val="18"/>
                              </w:rPr>
                            </w:pPr>
                            <w:r>
                              <w:rPr>
                                <w:rFonts w:ascii="Arial" w:hAnsi="Arial"/>
                                <w:color w:val="191919"/>
                                <w:sz w:val="18"/>
                              </w:rPr>
                              <w:t xml:space="preserve">. For the fiscal 2026 restricted stock awards, the reported value shown in the “Summary Compensation Table” was computed based on the “grant date fair value,” or the price of our common stock on the date of grant multiplied by the number of shares granted. The number of shares granted was computed by dividing target grant values by the volume weighted average trading price of our common stock in the last 20 trading days of August 2025, a methodology we have used since 2016. </w:t>
                            </w:r>
                          </w:p>
                          <w:p>
                            <w:pPr>
                              <w:pStyle w:val="TextBody"/>
                              <w:bidi w:val="0"/>
                              <w:spacing w:before="240" w:after="0"/>
                              <w:jc w:val="left"/>
                              <w:rPr>
                                <w:rFonts w:ascii="Arial" w:hAnsi="Arial"/>
                                <w:color w:val="191919"/>
                                <w:sz w:val="18"/>
                              </w:rPr>
                            </w:pPr>
                            <w:r>
                              <w:rPr>
                                <w:rFonts w:ascii="Arial" w:hAnsi="Arial"/>
                                <w:color w:val="191919"/>
                                <w:sz w:val="18"/>
                              </w:rPr>
                              <w:t xml:space="preserve">Subject to limited exceptions, restricted stock awards are only earned if the individual continues to be employed by the Company through the vesting date. Unvested restricted stock has voting rights and earns dividends, if any, on the same basis as the Company’s outstanding unrestricted common stock.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7.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color w:val="191919"/>
                          <w:sz w:val="18"/>
                        </w:rPr>
                      </w:pPr>
                      <w:r>
                        <w:rPr>
                          <w:rFonts w:ascii="Arial" w:hAnsi="Arial"/>
                          <w:b/>
                          <w:i/>
                          <w:color w:val="191919"/>
                          <w:sz w:val="18"/>
                        </w:rPr>
                        <w:t>Valuation and Other Terms</w:t>
                      </w:r>
                    </w:p>
                    <w:p>
                      <w:pPr>
                        <w:pStyle w:val="TextBody"/>
                        <w:bidi w:val="0"/>
                        <w:spacing w:before="0" w:after="0"/>
                        <w:jc w:val="left"/>
                        <w:rPr>
                          <w:rFonts w:ascii="Arial" w:hAnsi="Arial"/>
                          <w:color w:val="191919"/>
                          <w:sz w:val="18"/>
                        </w:rPr>
                      </w:pPr>
                      <w:r>
                        <w:rPr>
                          <w:rFonts w:ascii="Arial" w:hAnsi="Arial"/>
                          <w:color w:val="191919"/>
                          <w:sz w:val="18"/>
                        </w:rPr>
                        <w:t xml:space="preserve">. For the fiscal 2026 restricted stock awards, the reported value shown in the “Summary Compensation Table” was computed based on the “grant date fair value,” or the price of our common stock on the date of grant multiplied by the number of shares granted. The number of shares granted was computed by dividing target grant values by the volume weighted average trading price of our common stock in the last 20 trading days of August 2025, a methodology we have used since 2016. </w:t>
                      </w:r>
                    </w:p>
                    <w:p>
                      <w:pPr>
                        <w:pStyle w:val="TextBody"/>
                        <w:bidi w:val="0"/>
                        <w:spacing w:before="240" w:after="0"/>
                        <w:jc w:val="left"/>
                        <w:rPr>
                          <w:rFonts w:ascii="Arial" w:hAnsi="Arial"/>
                          <w:color w:val="191919"/>
                          <w:sz w:val="18"/>
                        </w:rPr>
                      </w:pPr>
                      <w:r>
                        <w:rPr>
                          <w:rFonts w:ascii="Arial" w:hAnsi="Arial"/>
                          <w:color w:val="191919"/>
                          <w:sz w:val="18"/>
                        </w:rPr>
                        <w:t xml:space="preserve">Subject to limited exceptions, restricted stock awards are only earned if the individual continues to be employed by the Company through the vesting date. Unvested restricted stock has voting rights and earns dividends, if any, on the same basis as the Company’s outstanding unrestricted common stock. </w:t>
                      </w:r>
                    </w:p>
                  </w:txbxContent>
                </v:textbox>
                <w10:wrap type="square" side="right"/>
              </v:rect>
            </w:pict>
          </mc:Fallback>
        </mc:AlternateContent>
      </w:r>
    </w:p>
    <w:tbl>
      <w:tblPr>
        <w:tblW w:w="3663"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520"/>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4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15" descr=""/>
                          <pic:cNvPicPr>
                            <a:picLocks noChangeAspect="1" noChangeArrowheads="1"/>
                          </pic:cNvPicPr>
                        </pic:nvPicPr>
                        <pic:blipFill>
                          <a:blip r:embed="rId318"/>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0"/>
              <w:jc w:val="center"/>
              <w:rPr/>
            </w:pPr>
            <w:r>
              <w:rPr/>
              <w:t> </w:t>
            </w:r>
          </w:p>
          <w:p>
            <w:pPr>
              <w:pStyle w:val="TableContents"/>
              <w:bidi w:val="0"/>
              <w:spacing w:before="0" w:after="20"/>
              <w:jc w:val="center"/>
              <w:rPr>
                <w:rFonts w:ascii="Arial" w:hAnsi="Arial"/>
                <w:color w:val="7DB655"/>
                <w:sz w:val="14"/>
              </w:rPr>
            </w:pPr>
            <w:r>
              <w:rPr>
                <w:rFonts w:ascii="Arial" w:hAnsi="Arial"/>
                <w:color w:val="7DB655"/>
                <w:sz w:val="14"/>
              </w:rPr>
              <w:t>|</w:t>
            </w:r>
          </w:p>
          <w:p>
            <w:pPr>
              <w:pStyle w:val="TableContents"/>
              <w:bidi w:val="0"/>
              <w:spacing w:before="0" w:after="20"/>
              <w:jc w:val="center"/>
              <w:rPr/>
            </w:pPr>
            <w:r>
              <w:rPr/>
              <w:t> </w:t>
            </w:r>
            <w:r>
              <w:rPr>
                <w:rFonts w:ascii="Arial" w:hAnsi="Arial"/>
                <w:sz w:val="14"/>
              </w:rPr>
              <w:t>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rPr>
            </w:pPr>
            <w:r>
              <w:rPr>
                <w:b/>
              </w:rPr>
              <w:t>53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3110230" cy="7611745"/>
                <wp:effectExtent l="0" t="0" r="0" b="0"/>
                <wp:wrapSquare wrapText="right"/>
                <wp:docPr id="346" name="Frame29"/>
                <a:graphic xmlns:a="http://schemas.openxmlformats.org/drawingml/2006/main">
                  <a:graphicData uri="http://schemas.microsoft.com/office/word/2010/wordprocessingShape">
                    <wps:wsp>
                      <wps:cNvSpPr txBox="1"/>
                      <wps:spPr>
                        <a:xfrm>
                          <a:off x="0" y="0"/>
                          <a:ext cx="3110230" cy="7611745"/>
                        </a:xfrm>
                        <a:prstGeom prst="rect"/>
                        <a:solidFill>
                          <a:srgbClr val="FFFFFF"/>
                        </a:solidFill>
                      </wps:spPr>
                      <wps:txbx>
                        <w:txbxContent>
                          <w:p>
                            <w:pPr>
                              <w:pStyle w:val="TextBody"/>
                              <w:bidi w:val="0"/>
                              <w:spacing w:before="0" w:after="0"/>
                              <w:jc w:val="left"/>
                              <w:rPr>
                                <w:rFonts w:ascii="Arial" w:hAnsi="Arial"/>
                                <w:b/>
                                <w:color w:val="191919"/>
                                <w:sz w:val="26"/>
                              </w:rPr>
                            </w:pPr>
                            <w:r>
                              <w:rPr>
                                <w:rFonts w:ascii="Arial" w:hAnsi="Arial"/>
                                <w:b/>
                                <w:color w:val="191919"/>
                                <w:sz w:val="26"/>
                              </w:rPr>
                              <w:t xml:space="preserve">Performance Share Awards </w:t>
                            </w:r>
                          </w:p>
                          <w:p>
                            <w:pPr>
                              <w:pStyle w:val="TextBody"/>
                              <w:bidi w:val="0"/>
                              <w:spacing w:before="240" w:after="0"/>
                              <w:jc w:val="left"/>
                              <w:rPr>
                                <w:rFonts w:ascii="Arial" w:hAnsi="Arial"/>
                                <w:b/>
                                <w:i/>
                                <w:color w:val="191919"/>
                                <w:sz w:val="18"/>
                              </w:rPr>
                            </w:pPr>
                            <w:r>
                              <w:rPr>
                                <w:rFonts w:ascii="Arial" w:hAnsi="Arial"/>
                                <w:b/>
                                <w:i/>
                                <w:color w:val="191919"/>
                                <w:sz w:val="18"/>
                              </w:rPr>
                              <w:t>Award Design and Performance Metric.</w:t>
                            </w:r>
                          </w:p>
                          <w:p>
                            <w:pPr>
                              <w:pStyle w:val="TextBody"/>
                              <w:bidi w:val="0"/>
                              <w:spacing w:before="240" w:after="0"/>
                              <w:jc w:val="left"/>
                              <w:rPr>
                                <w:rFonts w:ascii="Arial" w:hAnsi="Arial"/>
                                <w:color w:val="191919"/>
                                <w:sz w:val="18"/>
                              </w:rPr>
                            </w:pPr>
                            <w:r>
                              <w:rPr>
                                <w:rFonts w:ascii="Arial" w:hAnsi="Arial"/>
                                <w:color w:val="191919"/>
                                <w:sz w:val="18"/>
                              </w:rPr>
                              <w:t xml:space="preserve">Performance share awards in fiscal 2026 maintained all of the design characteristics of the prior year and were otherwise unchanged. The awards cliff vest at the end of a three-year performance period, and they have one performance metric—TSR relative to the members of the Russell 2000 Index. The Compensation Committee believes using TSR as the sole performance metric supports the Company’s strategic objective of emphasizing growth in excess of market levels and unquestionably aligns our executives’ interests with those of our shareholders. The Compensation Committee believes the use of the Russell 2000 Index for TSR benchmarking is highly relevant, as the Company is a member of the index and competes with other index members for investor capital. Additionally, comparison to a broad index, rather than individually selected companies, better suits the highly diversified nature of the Company’s business and, as a fully objective standard, mitigates risk in the program. </w:t>
                            </w:r>
                          </w:p>
                          <w:p>
                            <w:pPr>
                              <w:pStyle w:val="TextBody"/>
                              <w:bidi w:val="0"/>
                              <w:spacing w:before="240" w:after="0"/>
                              <w:jc w:val="left"/>
                              <w:rPr>
                                <w:rFonts w:ascii="Arial" w:hAnsi="Arial"/>
                                <w:b/>
                                <w:i/>
                                <w:color w:val="191919"/>
                                <w:sz w:val="18"/>
                              </w:rPr>
                            </w:pPr>
                            <w:r>
                              <w:rPr>
                                <w:rFonts w:ascii="Arial" w:hAnsi="Arial"/>
                                <w:b/>
                                <w:i/>
                                <w:color w:val="191919"/>
                                <w:sz w:val="18"/>
                              </w:rPr>
                              <w:t xml:space="preserve">Vesting Matrix.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establishes a vesting matrix for performance shares when they are granted. This vesting matrix calculates the number of performance shares that vest relative to the number of shares originally granted. Like the AIP, this vesting matrix has an established upper limit and a minimum below which no shares will vest. For fiscal 2026, the vesting matrix established was 0% to 200% of the award value, unchanged from fiscal 2025. The vesting percentage is calculated using the Company’s TSR percentile ranking among the Russell 2000 Index members, and then multiplying the number of performance shares granted by the applicable interpolated vesting percentage, as set forth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38400" cy="1835785"/>
                                  <wp:effectExtent l="0" t="0" r="0" b="0"/>
                                  <wp:docPr id="347"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16" descr=""/>
                                          <pic:cNvPicPr>
                                            <a:picLocks noChangeAspect="1" noChangeArrowheads="1"/>
                                          </pic:cNvPicPr>
                                        </pic:nvPicPr>
                                        <pic:blipFill>
                                          <a:blip r:embed="rId319"/>
                                          <a:stretch>
                                            <a:fillRect/>
                                          </a:stretch>
                                        </pic:blipFill>
                                        <pic:spPr bwMode="auto">
                                          <a:xfrm>
                                            <a:off x="0" y="0"/>
                                            <a:ext cx="2438400" cy="1835785"/>
                                          </a:xfrm>
                                          <a:prstGeom prst="rect">
                                            <a:avLst/>
                                          </a:prstGeom>
                                        </pic:spPr>
                                      </pic:pic>
                                    </a:graphicData>
                                  </a:graphic>
                                </wp:inline>
                              </w:drawing>
                            </w:r>
                            <w:r>
                              <w:rPr/>
                              <w:t xml:space="preserve"> </w:t>
                            </w:r>
                          </w:p>
                          <w:p>
                            <w:pPr>
                              <w:pStyle w:val="TextBody"/>
                              <w:bidi w:val="0"/>
                              <w:spacing w:before="240" w:after="0"/>
                              <w:ind w:left="520" w:right="0" w:hanging="0"/>
                              <w:jc w:val="center"/>
                              <w:rPr>
                                <w:rFonts w:ascii="Arial" w:hAnsi="Arial"/>
                                <w:color w:val="191919"/>
                                <w:sz w:val="14"/>
                              </w:rPr>
                            </w:pPr>
                            <w:r>
                              <w:rPr>
                                <w:rFonts w:ascii="Arial" w:hAnsi="Arial"/>
                                <w:color w:val="191919"/>
                                <w:sz w:val="14"/>
                              </w:rPr>
                              <w:t xml:space="preserve">Relative TSR Percentile Ranking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9.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191919"/>
                          <w:sz w:val="26"/>
                        </w:rPr>
                      </w:pPr>
                      <w:r>
                        <w:rPr>
                          <w:rFonts w:ascii="Arial" w:hAnsi="Arial"/>
                          <w:b/>
                          <w:color w:val="191919"/>
                          <w:sz w:val="26"/>
                        </w:rPr>
                        <w:t xml:space="preserve">Performance Share Awards </w:t>
                      </w:r>
                    </w:p>
                    <w:p>
                      <w:pPr>
                        <w:pStyle w:val="TextBody"/>
                        <w:bidi w:val="0"/>
                        <w:spacing w:before="240" w:after="0"/>
                        <w:jc w:val="left"/>
                        <w:rPr>
                          <w:rFonts w:ascii="Arial" w:hAnsi="Arial"/>
                          <w:b/>
                          <w:i/>
                          <w:color w:val="191919"/>
                          <w:sz w:val="18"/>
                        </w:rPr>
                      </w:pPr>
                      <w:r>
                        <w:rPr>
                          <w:rFonts w:ascii="Arial" w:hAnsi="Arial"/>
                          <w:b/>
                          <w:i/>
                          <w:color w:val="191919"/>
                          <w:sz w:val="18"/>
                        </w:rPr>
                        <w:t>Award Design and Performance Metric.</w:t>
                      </w:r>
                    </w:p>
                    <w:p>
                      <w:pPr>
                        <w:pStyle w:val="TextBody"/>
                        <w:bidi w:val="0"/>
                        <w:spacing w:before="240" w:after="0"/>
                        <w:jc w:val="left"/>
                        <w:rPr>
                          <w:rFonts w:ascii="Arial" w:hAnsi="Arial"/>
                          <w:color w:val="191919"/>
                          <w:sz w:val="18"/>
                        </w:rPr>
                      </w:pPr>
                      <w:r>
                        <w:rPr>
                          <w:rFonts w:ascii="Arial" w:hAnsi="Arial"/>
                          <w:color w:val="191919"/>
                          <w:sz w:val="18"/>
                        </w:rPr>
                        <w:t xml:space="preserve">Performance share awards in fiscal 2026 maintained all of the design characteristics of the prior year and were otherwise unchanged. The awards cliff vest at the end of a three-year performance period, and they have one performance metric—TSR relative to the members of the Russell 2000 Index. The Compensation Committee believes using TSR as the sole performance metric supports the Company’s strategic objective of emphasizing growth in excess of market levels and unquestionably aligns our executives’ interests with those of our shareholders. The Compensation Committee believes the use of the Russell 2000 Index for TSR benchmarking is highly relevant, as the Company is a member of the index and competes with other index members for investor capital. Additionally, comparison to a broad index, rather than individually selected companies, better suits the highly diversified nature of the Company’s business and, as a fully objective standard, mitigates risk in the program. </w:t>
                      </w:r>
                    </w:p>
                    <w:p>
                      <w:pPr>
                        <w:pStyle w:val="TextBody"/>
                        <w:bidi w:val="0"/>
                        <w:spacing w:before="240" w:after="0"/>
                        <w:jc w:val="left"/>
                        <w:rPr>
                          <w:rFonts w:ascii="Arial" w:hAnsi="Arial"/>
                          <w:b/>
                          <w:i/>
                          <w:color w:val="191919"/>
                          <w:sz w:val="18"/>
                        </w:rPr>
                      </w:pPr>
                      <w:r>
                        <w:rPr>
                          <w:rFonts w:ascii="Arial" w:hAnsi="Arial"/>
                          <w:b/>
                          <w:i/>
                          <w:color w:val="191919"/>
                          <w:sz w:val="18"/>
                        </w:rPr>
                        <w:t xml:space="preserve">Vesting Matrix.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establishes a vesting matrix for performance shares when they are granted. This vesting matrix calculates the number of performance shares that vest relative to the number of shares originally granted. Like the AIP, this vesting matrix has an established upper limit and a minimum below which no shares will vest. For fiscal 2026, the vesting matrix established was 0% to 200% of the award value, unchanged from fiscal 2025. The vesting percentage is calculated using the Company’s TSR percentile ranking among the Russell 2000 Index members, and then multiplying the number of performance shares granted by the applicable interpolated vesting percentage, as set forth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38400" cy="1835785"/>
                            <wp:effectExtent l="0" t="0" r="0" b="0"/>
                            <wp:docPr id="348"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16" descr=""/>
                                    <pic:cNvPicPr>
                                      <a:picLocks noChangeAspect="1" noChangeArrowheads="1"/>
                                    </pic:cNvPicPr>
                                  </pic:nvPicPr>
                                  <pic:blipFill>
                                    <a:blip r:embed="rId320"/>
                                    <a:stretch>
                                      <a:fillRect/>
                                    </a:stretch>
                                  </pic:blipFill>
                                  <pic:spPr bwMode="auto">
                                    <a:xfrm>
                                      <a:off x="0" y="0"/>
                                      <a:ext cx="2438400" cy="1835785"/>
                                    </a:xfrm>
                                    <a:prstGeom prst="rect">
                                      <a:avLst/>
                                    </a:prstGeom>
                                  </pic:spPr>
                                </pic:pic>
                              </a:graphicData>
                            </a:graphic>
                          </wp:inline>
                        </w:drawing>
                      </w:r>
                      <w:r>
                        <w:rPr/>
                        <w:t xml:space="preserve"> </w:t>
                      </w:r>
                    </w:p>
                    <w:p>
                      <w:pPr>
                        <w:pStyle w:val="TextBody"/>
                        <w:bidi w:val="0"/>
                        <w:spacing w:before="240" w:after="0"/>
                        <w:ind w:left="520" w:right="0" w:hanging="0"/>
                        <w:jc w:val="center"/>
                        <w:rPr>
                          <w:rFonts w:ascii="Arial" w:hAnsi="Arial"/>
                          <w:color w:val="191919"/>
                          <w:sz w:val="14"/>
                        </w:rPr>
                      </w:pPr>
                      <w:r>
                        <w:rPr>
                          <w:rFonts w:ascii="Arial" w:hAnsi="Arial"/>
                          <w:color w:val="191919"/>
                          <w:sz w:val="14"/>
                        </w:rPr>
                        <w:t xml:space="preserve">Relative TSR Percentile Ranking </w:t>
                      </w:r>
                    </w:p>
                  </w:txbxContent>
                </v:textbox>
                <w10:wrap type="square" side="right"/>
              </v:rect>
            </w:pict>
          </mc:Fallback>
        </mc:AlternateConten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3175000" cy="5307965"/>
                <wp:effectExtent l="0" t="0" r="0" b="0"/>
                <wp:wrapSquare wrapText="right"/>
                <wp:docPr id="349" name="Frame30"/>
                <a:graphic xmlns:a="http://schemas.openxmlformats.org/drawingml/2006/main">
                  <a:graphicData uri="http://schemas.microsoft.com/office/word/2010/wordprocessingShape">
                    <wps:wsp>
                      <wps:cNvSpPr txBox="1"/>
                      <wps:spPr>
                        <a:xfrm>
                          <a:off x="0" y="0"/>
                          <a:ext cx="3175000" cy="5307965"/>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As noted, the established vesting matrix features a limit on the number of shares that will vest if the Company’s TSR is negative for the performance period. If that occurs, the maximum amount of performance shares that can vest is 100%, even if the Company’s TSR performs above the 51</w:t>
                            </w:r>
                          </w:p>
                          <w:p>
                            <w:pPr>
                              <w:pStyle w:val="TextBody"/>
                              <w:bidi w:val="0"/>
                              <w:spacing w:before="0" w:after="0"/>
                              <w:jc w:val="left"/>
                              <w:rPr>
                                <w:rFonts w:ascii="Arial" w:hAnsi="Arial"/>
                                <w:color w:val="191919"/>
                                <w:sz w:val="11"/>
                              </w:rPr>
                            </w:pPr>
                            <w:r>
                              <w:rPr>
                                <w:rFonts w:ascii="Arial" w:hAnsi="Arial"/>
                                <w:color w:val="191919"/>
                                <w:sz w:val="11"/>
                              </w:rPr>
                              <w:t>st</w:t>
                            </w:r>
                          </w:p>
                          <w:p>
                            <w:pPr>
                              <w:pStyle w:val="TextBody"/>
                              <w:bidi w:val="0"/>
                              <w:spacing w:before="0" w:after="0"/>
                              <w:jc w:val="left"/>
                              <w:rPr>
                                <w:rFonts w:ascii="Arial" w:hAnsi="Arial"/>
                                <w:color w:val="191919"/>
                                <w:sz w:val="18"/>
                              </w:rPr>
                            </w:pPr>
                            <w:r>
                              <w:rPr>
                                <w:rFonts w:ascii="Arial" w:hAnsi="Arial"/>
                                <w:color w:val="191919"/>
                                <w:sz w:val="18"/>
                              </w:rPr>
                              <w:t xml:space="preserve">percentile of the Russell 2000 Index. </w:t>
                            </w:r>
                          </w:p>
                          <w:p>
                            <w:pPr>
                              <w:pStyle w:val="TextBody"/>
                              <w:bidi w:val="0"/>
                              <w:spacing w:before="240" w:after="0"/>
                              <w:jc w:val="left"/>
                              <w:rPr>
                                <w:rFonts w:ascii="Arial" w:hAnsi="Arial"/>
                                <w:b/>
                                <w:i/>
                                <w:color w:val="191919"/>
                                <w:sz w:val="18"/>
                              </w:rPr>
                            </w:pPr>
                            <w:r>
                              <w:rPr>
                                <w:rFonts w:ascii="Arial" w:hAnsi="Arial"/>
                                <w:b/>
                                <w:i/>
                                <w:color w:val="191919"/>
                                <w:sz w:val="18"/>
                              </w:rPr>
                              <w:t>Valuation and Other Terms</w:t>
                            </w:r>
                          </w:p>
                          <w:p>
                            <w:pPr>
                              <w:pStyle w:val="TextBody"/>
                              <w:bidi w:val="0"/>
                              <w:spacing w:before="240" w:after="0"/>
                              <w:jc w:val="left"/>
                              <w:rPr>
                                <w:rFonts w:ascii="Arial" w:hAnsi="Arial"/>
                                <w:color w:val="191919"/>
                                <w:sz w:val="18"/>
                              </w:rPr>
                            </w:pPr>
                            <w:r>
                              <w:rPr>
                                <w:rFonts w:ascii="Arial" w:hAnsi="Arial"/>
                                <w:color w:val="191919"/>
                                <w:sz w:val="18"/>
                              </w:rPr>
                              <w:t xml:space="preserve">. For the fiscal 2026 </w:t>
                            </w:r>
                          </w:p>
                          <w:p>
                            <w:pPr>
                              <w:pStyle w:val="TextBody"/>
                              <w:bidi w:val="0"/>
                              <w:spacing w:before="240" w:after="0"/>
                              <w:jc w:val="left"/>
                              <w:rPr>
                                <w:rFonts w:ascii="Arial" w:hAnsi="Arial"/>
                                <w:color w:val="191919"/>
                                <w:sz w:val="18"/>
                              </w:rPr>
                            </w:pPr>
                            <w:r>
                              <w:rPr>
                                <w:rFonts w:ascii="Arial" w:hAnsi="Arial"/>
                                <w:color w:val="191919"/>
                                <w:sz w:val="18"/>
                              </w:rPr>
                              <w:t>per</w:t>
                            </w:r>
                          </w:p>
                          <w:p>
                            <w:pPr>
                              <w:pStyle w:val="TextBody"/>
                              <w:bidi w:val="0"/>
                              <w:spacing w:before="240" w:after="0"/>
                              <w:jc w:val="left"/>
                              <w:rPr>
                                <w:rFonts w:ascii="Arial" w:hAnsi="Arial"/>
                                <w:color w:val="191919"/>
                                <w:sz w:val="18"/>
                              </w:rPr>
                            </w:pPr>
                            <w:r>
                              <w:rPr>
                                <w:rFonts w:ascii="Arial" w:hAnsi="Arial"/>
                                <w:color w:val="191919"/>
                                <w:sz w:val="18"/>
                              </w:rPr>
                              <w:t xml:space="preserve">formance share awards, the reported value shown in the “Summary Compensation Table” was computed based on the probable outcome of the performance conditions based on a Monte Carlo simulation and the grant date estimate of compensation cost to be recognized over the performance period, which was 144.9% of target, or $428.80 per share. This “grant date fair value” (i.e., 144.9% of the target amount) is reported in the “Summary Compensation Table” for the NEOs’ performance share awards. This reported amount is higher than the actual granted award value (i.e., 100% of the target amount) due to the accounting methodology for calculating this amount, as discussed in footnote 2 to the table. </w:t>
                            </w:r>
                          </w:p>
                          <w:p>
                            <w:pPr>
                              <w:pStyle w:val="TextBody"/>
                              <w:bidi w:val="0"/>
                              <w:spacing w:before="240" w:after="0"/>
                              <w:jc w:val="left"/>
                              <w:rPr>
                                <w:rFonts w:ascii="Arial" w:hAnsi="Arial"/>
                                <w:color w:val="191919"/>
                                <w:sz w:val="18"/>
                              </w:rPr>
                            </w:pPr>
                            <w:r>
                              <w:rPr>
                                <w:rFonts w:ascii="Arial" w:hAnsi="Arial"/>
                                <w:color w:val="191919"/>
                                <w:sz w:val="18"/>
                              </w:rPr>
                              <w:t xml:space="preserve">The number of performance shares granted was computed by dividing target grant values by the volume weighted average trading price of our common stock in the last 20 trading days of March 2025, a methodology we have used since 2016. Performance shares are subject to forfeiture if the executive’s employment is terminated by the Company for cause or by the executive without good reason before the end of the three-year performance period. Until vesting, holders of performance shares do not have voting rights. They also do not receive dividends but are entitled to receive accrued dividend equivalents that vest, if at all, at the same percentage as the underlying award.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As noted, the established vesting matrix features a limit on the number of shares that will vest if the Company’s TSR is negative for the performance period. If that occurs, the maximum amount of performance shares that can vest is 100%, even if the Company’s TSR performs above the 51</w:t>
                      </w:r>
                    </w:p>
                    <w:p>
                      <w:pPr>
                        <w:pStyle w:val="TextBody"/>
                        <w:bidi w:val="0"/>
                        <w:spacing w:before="0" w:after="0"/>
                        <w:jc w:val="left"/>
                        <w:rPr>
                          <w:rFonts w:ascii="Arial" w:hAnsi="Arial"/>
                          <w:color w:val="191919"/>
                          <w:sz w:val="11"/>
                        </w:rPr>
                      </w:pPr>
                      <w:r>
                        <w:rPr>
                          <w:rFonts w:ascii="Arial" w:hAnsi="Arial"/>
                          <w:color w:val="191919"/>
                          <w:sz w:val="11"/>
                        </w:rPr>
                        <w:t>st</w:t>
                      </w:r>
                    </w:p>
                    <w:p>
                      <w:pPr>
                        <w:pStyle w:val="TextBody"/>
                        <w:bidi w:val="0"/>
                        <w:spacing w:before="0" w:after="0"/>
                        <w:jc w:val="left"/>
                        <w:rPr>
                          <w:rFonts w:ascii="Arial" w:hAnsi="Arial"/>
                          <w:color w:val="191919"/>
                          <w:sz w:val="18"/>
                        </w:rPr>
                      </w:pPr>
                      <w:r>
                        <w:rPr>
                          <w:rFonts w:ascii="Arial" w:hAnsi="Arial"/>
                          <w:color w:val="191919"/>
                          <w:sz w:val="18"/>
                        </w:rPr>
                        <w:t xml:space="preserve">percentile of the Russell 2000 Index. </w:t>
                      </w:r>
                    </w:p>
                    <w:p>
                      <w:pPr>
                        <w:pStyle w:val="TextBody"/>
                        <w:bidi w:val="0"/>
                        <w:spacing w:before="240" w:after="0"/>
                        <w:jc w:val="left"/>
                        <w:rPr>
                          <w:rFonts w:ascii="Arial" w:hAnsi="Arial"/>
                          <w:b/>
                          <w:i/>
                          <w:color w:val="191919"/>
                          <w:sz w:val="18"/>
                        </w:rPr>
                      </w:pPr>
                      <w:r>
                        <w:rPr>
                          <w:rFonts w:ascii="Arial" w:hAnsi="Arial"/>
                          <w:b/>
                          <w:i/>
                          <w:color w:val="191919"/>
                          <w:sz w:val="18"/>
                        </w:rPr>
                        <w:t>Valuation and Other Terms</w:t>
                      </w:r>
                    </w:p>
                    <w:p>
                      <w:pPr>
                        <w:pStyle w:val="TextBody"/>
                        <w:bidi w:val="0"/>
                        <w:spacing w:before="240" w:after="0"/>
                        <w:jc w:val="left"/>
                        <w:rPr>
                          <w:rFonts w:ascii="Arial" w:hAnsi="Arial"/>
                          <w:color w:val="191919"/>
                          <w:sz w:val="18"/>
                        </w:rPr>
                      </w:pPr>
                      <w:r>
                        <w:rPr>
                          <w:rFonts w:ascii="Arial" w:hAnsi="Arial"/>
                          <w:color w:val="191919"/>
                          <w:sz w:val="18"/>
                        </w:rPr>
                        <w:t xml:space="preserve">. For the fiscal 2026 </w:t>
                      </w:r>
                    </w:p>
                    <w:p>
                      <w:pPr>
                        <w:pStyle w:val="TextBody"/>
                        <w:bidi w:val="0"/>
                        <w:spacing w:before="240" w:after="0"/>
                        <w:jc w:val="left"/>
                        <w:rPr>
                          <w:rFonts w:ascii="Arial" w:hAnsi="Arial"/>
                          <w:color w:val="191919"/>
                          <w:sz w:val="18"/>
                        </w:rPr>
                      </w:pPr>
                      <w:r>
                        <w:rPr>
                          <w:rFonts w:ascii="Arial" w:hAnsi="Arial"/>
                          <w:color w:val="191919"/>
                          <w:sz w:val="18"/>
                        </w:rPr>
                        <w:t>per</w:t>
                      </w:r>
                    </w:p>
                    <w:p>
                      <w:pPr>
                        <w:pStyle w:val="TextBody"/>
                        <w:bidi w:val="0"/>
                        <w:spacing w:before="240" w:after="0"/>
                        <w:jc w:val="left"/>
                        <w:rPr>
                          <w:rFonts w:ascii="Arial" w:hAnsi="Arial"/>
                          <w:color w:val="191919"/>
                          <w:sz w:val="18"/>
                        </w:rPr>
                      </w:pPr>
                      <w:r>
                        <w:rPr>
                          <w:rFonts w:ascii="Arial" w:hAnsi="Arial"/>
                          <w:color w:val="191919"/>
                          <w:sz w:val="18"/>
                        </w:rPr>
                        <w:t xml:space="preserve">formance share awards, the reported value shown in the “Summary Compensation Table” was computed based on the probable outcome of the performance conditions based on a Monte Carlo simulation and the grant date estimate of compensation cost to be recognized over the performance period, which was 144.9% of target, or $428.80 per share. This “grant date fair value” (i.e., 144.9% of the target amount) is reported in the “Summary Compensation Table” for the NEOs’ performance share awards. This reported amount is higher than the actual granted award value (i.e., 100% of the target amount) due to the accounting methodology for calculating this amount, as discussed in footnote 2 to the table. </w:t>
                      </w:r>
                    </w:p>
                    <w:p>
                      <w:pPr>
                        <w:pStyle w:val="TextBody"/>
                        <w:bidi w:val="0"/>
                        <w:spacing w:before="240" w:after="0"/>
                        <w:jc w:val="left"/>
                        <w:rPr>
                          <w:rFonts w:ascii="Arial" w:hAnsi="Arial"/>
                          <w:color w:val="191919"/>
                          <w:sz w:val="18"/>
                        </w:rPr>
                      </w:pPr>
                      <w:r>
                        <w:rPr>
                          <w:rFonts w:ascii="Arial" w:hAnsi="Arial"/>
                          <w:color w:val="191919"/>
                          <w:sz w:val="18"/>
                        </w:rPr>
                        <w:t xml:space="preserve">The number of performance shares granted was computed by dividing target grant values by the volume weighted average trading price of our common stock in the last 20 trading days of March 2025, a methodology we have used since 2016. Performance shares are subject to forfeiture if the executive’s employment is terminated by the Company for cause or by the executive without good reason before the end of the three-year performance period. Until vesting, holders of performance shares do not have voting rights. They also do not receive dividends but are entitled to receive accrued dividend equivalents that vest, if at all, at the same percentage as the underlying award. </w:t>
                      </w:r>
                    </w:p>
                  </w:txbxContent>
                </v:textbox>
                <w10:wrap type="square" side="right"/>
              </v:rect>
            </w:pict>
          </mc:Fallback>
        </mc:AlternateContent>
      </w:r>
    </w:p>
    <w:tbl>
      <w:tblPr>
        <w:tblW w:w="3753"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520"/>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right"/>
              <w:rPr>
                <w:sz w:val="20"/>
              </w:rPr>
            </w:pPr>
            <w:r>
              <w:rPr>
                <w:sz w:val="20"/>
              </w:rPr>
              <w:t>54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5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17" descr=""/>
                          <pic:cNvPicPr>
                            <a:picLocks noChangeAspect="1" noChangeArrowheads="1"/>
                          </pic:cNvPicPr>
                        </pic:nvPicPr>
                        <pic:blipFill>
                          <a:blip r:embed="rId32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0"/>
              <w:jc w:val="left"/>
              <w:rPr>
                <w:color w:val="7DB655"/>
              </w:rPr>
            </w:pPr>
            <w:r>
              <w:rPr>
                <w:color w:val="7DB655"/>
              </w:rPr>
              <w:t> </w:t>
            </w:r>
            <w:r>
              <w:rPr>
                <w:rFonts w:ascii="Arial" w:hAnsi="Arial"/>
                <w:color w:val="7DB655"/>
                <w:sz w:val="14"/>
              </w:rPr>
              <w:t>|</w:t>
            </w:r>
          </w:p>
          <w:p>
            <w:pPr>
              <w:pStyle w:val="TableContents"/>
              <w:bidi w:val="0"/>
              <w:spacing w:before="0" w:after="20"/>
              <w:jc w:val="left"/>
              <w:rPr/>
            </w:pPr>
            <w:r>
              <w:rPr/>
              <w:t> </w:t>
            </w:r>
            <w:r>
              <w:rPr>
                <w:rFonts w:ascii="Arial" w:hAnsi="Arial"/>
                <w:sz w:val="14"/>
              </w:rPr>
              <w:t>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191919"/>
          <w:sz w:val="26"/>
        </w:rPr>
      </w:pPr>
      <w:r>
        <w:rPr>
          <w:rFonts w:ascii="Arial" w:hAnsi="Arial"/>
          <w:b/>
          <w:color w:val="191919"/>
          <w:sz w:val="26"/>
        </w:rPr>
        <w:t xml:space="preserve">Additional Executive Compensation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b/>
          <w:color w:val="0A7DAC"/>
          <w:sz w:val="25"/>
        </w:rPr>
      </w:pPr>
      <w:r>
        <w:rPr>
          <w:rFonts w:ascii="Arial" w:hAnsi="Arial"/>
          <w:b/>
          <w:color w:val="0A7DAC"/>
          <w:sz w:val="25"/>
        </w:rPr>
        <w:t xml:space="preserve">Anti-Hedging and Anti-Pledging </w:t>
      </w:r>
    </w:p>
    <w:p>
      <w:pPr>
        <w:pStyle w:val="TextBody"/>
        <w:bidi w:val="0"/>
        <w:spacing w:before="240" w:after="0"/>
        <w:jc w:val="left"/>
        <w:rPr>
          <w:rFonts w:ascii="Arial" w:hAnsi="Arial"/>
          <w:color w:val="191919"/>
          <w:sz w:val="18"/>
        </w:rPr>
      </w:pPr>
      <w:r>
        <w:rPr>
          <w:rFonts w:ascii="Arial" w:hAnsi="Arial"/>
          <w:color w:val="191919"/>
          <w:sz w:val="18"/>
        </w:rPr>
        <w:t>Under the Company’s</w:t>
      </w:r>
    </w:p>
    <w:p>
      <w:pPr>
        <w:pStyle w:val="TextBody"/>
        <w:bidi w:val="0"/>
        <w:spacing w:before="240" w:after="0"/>
        <w:jc w:val="left"/>
        <w:rPr>
          <w:rFonts w:ascii="Arial" w:hAnsi="Arial"/>
          <w:color w:val="191919"/>
          <w:sz w:val="18"/>
        </w:rPr>
      </w:pPr>
      <w:r>
        <w:rPr>
          <w:rFonts w:ascii="Arial" w:hAnsi="Arial"/>
          <w:color w:val="191919"/>
          <w:sz w:val="18"/>
        </w:rPr>
        <w:t>Insider Trading Policy</w:t>
      </w:r>
    </w:p>
    <w:p>
      <w:pPr>
        <w:pStyle w:val="TextBody"/>
        <w:bidi w:val="0"/>
        <w:spacing w:before="240" w:after="0"/>
        <w:jc w:val="left"/>
        <w:rPr>
          <w:rFonts w:ascii="Arial" w:hAnsi="Arial"/>
          <w:color w:val="191919"/>
          <w:sz w:val="18"/>
        </w:rPr>
      </w:pPr>
      <w:r>
        <w:rPr>
          <w:rFonts w:ascii="Arial" w:hAnsi="Arial"/>
          <w:color w:val="191919"/>
          <w:sz w:val="18"/>
        </w:rPr>
        <w:t xml:space="preserve">, which is available on our website at </w:t>
      </w:r>
    </w:p>
    <w:p>
      <w:pPr>
        <w:pStyle w:val="TextBody"/>
        <w:bidi w:val="0"/>
        <w:spacing w:before="240" w:after="0"/>
        <w:jc w:val="left"/>
        <w:rPr>
          <w:rFonts w:ascii="Arial" w:hAnsi="Arial"/>
          <w:b/>
          <w:color w:val="191919"/>
          <w:sz w:val="18"/>
        </w:rPr>
      </w:pPr>
      <w:r>
        <w:rPr>
          <w:rFonts w:ascii="Arial" w:hAnsi="Arial"/>
          <w:b/>
          <w:color w:val="191919"/>
          <w:sz w:val="18"/>
        </w:rPr>
        <w:t>www.csw.com</w:t>
      </w:r>
    </w:p>
    <w:p>
      <w:pPr>
        <w:pStyle w:val="TextBody"/>
        <w:bidi w:val="0"/>
        <w:spacing w:before="240" w:after="0"/>
        <w:jc w:val="left"/>
        <w:rPr>
          <w:rFonts w:ascii="Arial" w:hAnsi="Arial"/>
          <w:color w:val="191919"/>
          <w:sz w:val="18"/>
        </w:rPr>
      </w:pPr>
      <w:r>
        <w:rPr>
          <w:rFonts w:ascii="Arial" w:hAnsi="Arial"/>
          <w:color w:val="191919"/>
          <w:sz w:val="18"/>
        </w:rPr>
        <w:t xml:space="preserve">under “Investors —Corporate Governance,” directors, executives and other employees are prohibited from pledging stock, holding Company securities in a margin account, and engaging in transactions (such as trading in options, short sales, and sales “against the box”) designed to hedge against the value of the Company’s common stock. </w:t>
      </w:r>
    </w:p>
    <w:p>
      <w:pPr>
        <w:pStyle w:val="TextBody"/>
        <w:bidi w:val="0"/>
        <w:spacing w:before="360" w:after="0"/>
        <w:jc w:val="left"/>
        <w:rPr>
          <w:rFonts w:ascii="Arial" w:hAnsi="Arial"/>
          <w:b/>
          <w:color w:val="0A7DAC"/>
          <w:sz w:val="25"/>
        </w:rPr>
      </w:pPr>
      <w:r>
        <w:rPr>
          <w:rFonts w:ascii="Arial" w:hAnsi="Arial"/>
          <w:b/>
          <w:color w:val="0A7DAC"/>
          <w:sz w:val="25"/>
        </w:rPr>
        <w:t xml:space="preserve">Stock Ownership Guidelines </w:t>
      </w:r>
    </w:p>
    <w:p>
      <w:pPr>
        <w:pStyle w:val="TextBody"/>
        <w:bidi w:val="0"/>
        <w:spacing w:before="240" w:after="0"/>
        <w:jc w:val="left"/>
        <w:rPr>
          <w:rFonts w:ascii="Arial" w:hAnsi="Arial"/>
          <w:color w:val="191919"/>
          <w:sz w:val="18"/>
        </w:rPr>
      </w:pPr>
      <w:r>
        <w:rPr>
          <w:rFonts w:ascii="Arial" w:hAnsi="Arial"/>
          <w:color w:val="191919"/>
          <w:sz w:val="18"/>
        </w:rPr>
        <w:t>Our executive compensation program provides guidelines for executive ownership of Company common stock, expressed as a multiple of annual base salary. The Compensation Committee believes these guidelines encourage the alignment of executive and shareholder interests and promote the Company’s objective of building long-term shareholder value by requiring executives to build and mai</w:t>
      </w:r>
    </w:p>
    <w:p>
      <w:pPr>
        <w:pStyle w:val="TextBody"/>
        <w:bidi w:val="0"/>
        <w:spacing w:before="240" w:after="0"/>
        <w:jc w:val="left"/>
        <w:rPr>
          <w:rFonts w:ascii="Arial" w:hAnsi="Arial"/>
          <w:color w:val="191919"/>
          <w:sz w:val="18"/>
        </w:rPr>
      </w:pPr>
      <w:r>
        <w:rPr>
          <w:rFonts w:ascii="Arial" w:hAnsi="Arial"/>
          <w:color w:val="191919"/>
          <w:sz w:val="18"/>
        </w:rPr>
        <w:t>nta</w:t>
      </w:r>
    </w:p>
    <w:p>
      <w:pPr>
        <w:pStyle w:val="TextBody"/>
        <w:bidi w:val="0"/>
        <w:spacing w:before="240" w:after="0"/>
        <w:jc w:val="left"/>
        <w:rPr>
          <w:rFonts w:ascii="Arial" w:hAnsi="Arial"/>
          <w:color w:val="191919"/>
          <w:sz w:val="18"/>
        </w:rPr>
      </w:pPr>
      <w:r>
        <w:rPr>
          <w:rFonts w:ascii="Arial" w:hAnsi="Arial"/>
          <w:color w:val="191919"/>
          <w:sz w:val="18"/>
        </w:rPr>
        <w:t xml:space="preserve">in a meaningful stake in the Company. </w:t>
      </w:r>
    </w:p>
    <w:p>
      <w:pPr>
        <w:pStyle w:val="TextBody"/>
        <w:bidi w:val="0"/>
        <w:spacing w:before="240" w:after="0"/>
        <w:jc w:val="left"/>
        <w:rPr>
          <w:rFonts w:ascii="Arial" w:hAnsi="Arial"/>
          <w:color w:val="191919"/>
          <w:sz w:val="18"/>
        </w:rPr>
      </w:pPr>
      <w:r>
        <w:rPr>
          <w:rFonts w:ascii="Arial" w:hAnsi="Arial"/>
          <w:color w:val="191919"/>
          <w:sz w:val="18"/>
        </w:rPr>
        <w:t xml:space="preserve">The stock ownership guidelines are designed to encourage stock ownership at levels high enough to indicate management’s commitment to the Company and share value appreciation, while satisfying an individual executive’s prudent needs for investment diversification. The stock ownership guidelines are set by the Compensation Committee using competitive benchmarking data, and the guidelines are reviewed each year and updated as necessary. There were no changes to the stock ownership guidelines during fiscal 2026. </w:t>
      </w:r>
    </w:p>
    <w:p>
      <w:pPr>
        <w:pStyle w:val="TextBody"/>
        <w:bidi w:val="0"/>
        <w:spacing w:before="240" w:after="0"/>
        <w:jc w:val="left"/>
        <w:rPr>
          <w:rFonts w:ascii="Arial" w:hAnsi="Arial"/>
          <w:color w:val="191919"/>
          <w:sz w:val="18"/>
        </w:rPr>
      </w:pPr>
      <w:r>
        <w:rPr>
          <w:rFonts w:ascii="Arial" w:hAnsi="Arial"/>
          <w:color w:val="191919"/>
          <w:sz w:val="18"/>
        </w:rPr>
        <w:t xml:space="preserve">The Company’s current stock ownership guidelines for the NEOs and the number of shares needed to satisfy the guidelines are shown below. </w:t>
      </w:r>
    </w:p>
    <w:p>
      <w:pPr>
        <w:pStyle w:val="TextBody"/>
        <w:bidi w:val="0"/>
        <w:spacing w:before="0" w:after="0"/>
        <w:jc w:val="left"/>
        <w:rPr/>
      </w:pPr>
      <w:r>
        <w:rPr/>
        <w:t> </w:t>
      </w:r>
    </w:p>
    <w:tbl>
      <w:tblPr>
        <w:tblW w:w="9079" w:type="dxa"/>
        <w:jc w:val="left"/>
        <w:tblInd w:w="0" w:type="dxa"/>
        <w:tblLayout w:type="fixed"/>
        <w:tblCellMar>
          <w:top w:w="0" w:type="dxa"/>
          <w:left w:w="0" w:type="dxa"/>
          <w:bottom w:w="0" w:type="dxa"/>
          <w:right w:w="0" w:type="dxa"/>
        </w:tblCellMar>
      </w:tblPr>
      <w:tblGrid>
        <w:gridCol w:w="1985"/>
        <w:gridCol w:w="120"/>
        <w:gridCol w:w="60"/>
        <w:gridCol w:w="60"/>
        <w:gridCol w:w="2270"/>
        <w:gridCol w:w="23"/>
        <w:gridCol w:w="120"/>
        <w:gridCol w:w="158"/>
        <w:gridCol w:w="158"/>
        <w:gridCol w:w="1801"/>
        <w:gridCol w:w="63"/>
        <w:gridCol w:w="120"/>
        <w:gridCol w:w="60"/>
        <w:gridCol w:w="60"/>
        <w:gridCol w:w="680"/>
        <w:gridCol w:w="23"/>
        <w:gridCol w:w="120"/>
        <w:gridCol w:w="60"/>
        <w:gridCol w:w="60"/>
        <w:gridCol w:w="1040"/>
        <w:gridCol w:w="38"/>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Named Executive Officer</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413" w:type="dxa"/>
            <w:gridSpan w:val="4"/>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Ownership Guideline</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180" w:type="dxa"/>
            <w:gridSpan w:val="4"/>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Ownership Guideline</w:t>
              <w:br/>
              <w:t>at 3/31/2026</w:t>
              <w:br/>
              <w:t>(# of Shares)</w:t>
            </w:r>
          </w:p>
          <w:p>
            <w:pPr>
              <w:pStyle w:val="TableContents"/>
              <w:bidi w:val="0"/>
              <w:spacing w:before="0" w:after="0"/>
              <w:jc w:val="center"/>
              <w:rPr>
                <w:b/>
                <w:color w:val="191919"/>
                <w:sz w:val="9"/>
              </w:rPr>
            </w:pPr>
            <w:r>
              <w:rPr>
                <w:b/>
                <w:color w:val="191919"/>
                <w:sz w:val="9"/>
              </w:rPr>
              <w:t>(1)</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141" w:type="dxa"/>
            <w:gridSpan w:val="9"/>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Current Ownership  </w:t>
            </w:r>
          </w:p>
          <w:p>
            <w:pPr>
              <w:pStyle w:val="TableContents"/>
              <w:bidi w:val="0"/>
              <w:spacing w:before="0" w:after="0"/>
              <w:jc w:val="center"/>
              <w:rPr>
                <w:rFonts w:ascii="Arial" w:hAnsi="Arial"/>
                <w:b/>
                <w:color w:val="191919"/>
                <w:sz w:val="16"/>
              </w:rPr>
            </w:pPr>
            <w:r>
              <w:rPr>
                <w:rFonts w:ascii="Arial" w:hAnsi="Arial"/>
                <w:b/>
                <w:color w:val="191919"/>
                <w:sz w:val="16"/>
              </w:rPr>
              <w:t>(# of Shares and  </w:t>
            </w:r>
          </w:p>
          <w:p>
            <w:pPr>
              <w:pStyle w:val="TableContents"/>
              <w:bidi w:val="0"/>
              <w:spacing w:before="0" w:after="20"/>
              <w:jc w:val="center"/>
              <w:rPr>
                <w:rFonts w:ascii="Arial" w:hAnsi="Arial"/>
                <w:b/>
                <w:color w:val="191919"/>
                <w:sz w:val="16"/>
              </w:rPr>
            </w:pPr>
            <w:r>
              <w:rPr>
                <w:rFonts w:ascii="Arial" w:hAnsi="Arial"/>
                <w:b/>
                <w:color w:val="191919"/>
                <w:sz w:val="16"/>
              </w:rPr>
              <w:t>Multiple of Salary)</w:t>
            </w:r>
          </w:p>
          <w:p>
            <w:pPr>
              <w:pStyle w:val="TableContents"/>
              <w:bidi w:val="0"/>
              <w:spacing w:before="0" w:after="20"/>
              <w:jc w:val="center"/>
              <w:rPr>
                <w:rFonts w:ascii="Arial" w:hAnsi="Arial"/>
                <w:b/>
                <w:color w:val="191919"/>
                <w:sz w:val="9"/>
              </w:rPr>
            </w:pPr>
            <w:r>
              <w:rPr>
                <w:rFonts w:ascii="Arial" w:hAnsi="Arial"/>
                <w:b/>
                <w:color w:val="191919"/>
                <w:sz w:val="9"/>
              </w:rPr>
              <w:t>(1)</w:t>
            </w:r>
          </w:p>
          <w:p>
            <w:pPr>
              <w:pStyle w:val="TableContents"/>
              <w:bidi w:val="0"/>
              <w:spacing w:before="0" w:after="20"/>
              <w:jc w:val="center"/>
              <w:rPr>
                <w:color w:val="191919"/>
              </w:rPr>
            </w:pPr>
            <w:r>
              <w:rPr>
                <w:color w:val="191919"/>
              </w:rPr>
              <w:t>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33" w:type="dxa"/>
            <w:gridSpan w:val="5"/>
            <w:tcBorders/>
            <w:vAlign w:val="center"/>
          </w:tcPr>
          <w:p>
            <w:pPr>
              <w:pStyle w:val="TableContents"/>
              <w:bidi w:val="0"/>
              <w:spacing w:before="0" w:after="283"/>
              <w:jc w:val="left"/>
              <w:rPr>
                <w:sz w:val="4"/>
                <w:szCs w:val="4"/>
              </w:rPr>
            </w:pPr>
            <w:r>
              <w:rPr>
                <w:sz w:val="4"/>
                <w:szCs w:val="4"/>
              </w:rPr>
            </w:r>
          </w:p>
        </w:tc>
        <w:tc>
          <w:tcPr>
            <w:tcW w:w="2300"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Joseph B. Armes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2270" w:type="dxa"/>
            <w:tcBorders/>
            <w:vAlign w:val="center"/>
          </w:tcPr>
          <w:p>
            <w:pPr>
              <w:pStyle w:val="TableContents"/>
              <w:bidi w:val="0"/>
              <w:spacing w:before="0" w:after="0"/>
              <w:jc w:val="left"/>
              <w:rPr>
                <w:color w:val="191919"/>
              </w:rPr>
            </w:pPr>
            <w:r>
              <w:rPr>
                <w:color w:val="191919"/>
              </w:rPr>
              <w:t>6 x Annual Base Salary</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color w:val="191919"/>
              </w:rPr>
            </w:pPr>
            <w:r>
              <w:rPr>
                <w:color w:val="191919"/>
              </w:rPr>
              <w:t> </w:t>
            </w:r>
          </w:p>
        </w:tc>
        <w:tc>
          <w:tcPr>
            <w:tcW w:w="1801" w:type="dxa"/>
            <w:tcBorders/>
            <w:vAlign w:val="center"/>
          </w:tcPr>
          <w:p>
            <w:pPr>
              <w:pStyle w:val="TableContents"/>
              <w:bidi w:val="0"/>
              <w:spacing w:before="0" w:after="0"/>
              <w:jc w:val="right"/>
              <w:rPr>
                <w:color w:val="191919"/>
              </w:rPr>
            </w:pPr>
            <w:r>
              <w:rPr>
                <w:color w:val="191919"/>
              </w:rPr>
              <w:t>21,318</w:t>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680" w:type="dxa"/>
            <w:tcBorders/>
            <w:vAlign w:val="center"/>
          </w:tcPr>
          <w:p>
            <w:pPr>
              <w:pStyle w:val="TableContents"/>
              <w:bidi w:val="0"/>
              <w:spacing w:before="0" w:after="0"/>
              <w:jc w:val="right"/>
              <w:rPr>
                <w:color w:val="191919"/>
              </w:rPr>
            </w:pPr>
            <w:r>
              <w:rPr>
                <w:color w:val="191919"/>
              </w:rPr>
              <w:t>89,213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040" w:type="dxa"/>
            <w:tcBorders/>
            <w:vAlign w:val="center"/>
          </w:tcPr>
          <w:p>
            <w:pPr>
              <w:pStyle w:val="TableContents"/>
              <w:bidi w:val="0"/>
              <w:spacing w:before="0" w:after="0"/>
              <w:jc w:val="right"/>
              <w:rPr>
                <w:color w:val="191919"/>
              </w:rPr>
            </w:pPr>
            <w:r>
              <w:rPr>
                <w:color w:val="191919"/>
              </w:rPr>
              <w:t>25.1x  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2533" w:type="dxa"/>
            <w:gridSpan w:val="5"/>
            <w:tcBorders/>
            <w:shd w:fill="EDEDED" w:val="clear"/>
            <w:vAlign w:val="center"/>
          </w:tcPr>
          <w:p>
            <w:pPr>
              <w:pStyle w:val="TableContents"/>
              <w:bidi w:val="0"/>
              <w:spacing w:before="0" w:after="283"/>
              <w:jc w:val="left"/>
              <w:rPr>
                <w:sz w:val="4"/>
                <w:szCs w:val="4"/>
              </w:rPr>
            </w:pPr>
            <w:r>
              <w:rPr>
                <w:sz w:val="4"/>
                <w:szCs w:val="4"/>
              </w:rPr>
            </w:r>
          </w:p>
        </w:tc>
        <w:tc>
          <w:tcPr>
            <w:tcW w:w="2300" w:type="dxa"/>
            <w:gridSpan w:val="5"/>
            <w:tcBorders/>
            <w:shd w:fill="EDEDED" w:val="clear"/>
            <w:vAlign w:val="center"/>
          </w:tcPr>
          <w:p>
            <w:pPr>
              <w:pStyle w:val="TableContents"/>
              <w:bidi w:val="0"/>
              <w:spacing w:before="0" w:after="283"/>
              <w:jc w:val="left"/>
              <w:rPr>
                <w:sz w:val="4"/>
                <w:szCs w:val="4"/>
              </w:rPr>
            </w:pPr>
            <w:r>
              <w:rPr>
                <w:sz w:val="4"/>
                <w:szCs w:val="4"/>
              </w:rPr>
            </w:r>
          </w:p>
        </w:tc>
        <w:tc>
          <w:tcPr>
            <w:tcW w:w="943" w:type="dxa"/>
            <w:gridSpan w:val="5"/>
            <w:tcBorders/>
            <w:shd w:fill="EDEDED" w:val="clear"/>
            <w:vAlign w:val="center"/>
          </w:tcPr>
          <w:p>
            <w:pPr>
              <w:pStyle w:val="TableContents"/>
              <w:bidi w:val="0"/>
              <w:spacing w:before="0" w:after="283"/>
              <w:jc w:val="left"/>
              <w:rPr>
                <w:sz w:val="4"/>
                <w:szCs w:val="4"/>
              </w:rPr>
            </w:pPr>
            <w:r>
              <w:rPr>
                <w:sz w:val="4"/>
                <w:szCs w:val="4"/>
              </w:rPr>
            </w:r>
          </w:p>
        </w:tc>
        <w:tc>
          <w:tcPr>
            <w:tcW w:w="131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James E. Perry</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2270" w:type="dxa"/>
            <w:tcBorders/>
            <w:shd w:fill="EDEDED" w:val="clear"/>
            <w:vAlign w:val="center"/>
          </w:tcPr>
          <w:p>
            <w:pPr>
              <w:pStyle w:val="TableContents"/>
              <w:bidi w:val="0"/>
              <w:spacing w:before="0" w:after="0"/>
              <w:jc w:val="left"/>
              <w:rPr>
                <w:color w:val="191919"/>
              </w:rPr>
            </w:pPr>
            <w:r>
              <w:rPr>
                <w:color w:val="191919"/>
              </w:rPr>
              <w:t>3 x Annual Base Salary</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58" w:type="dxa"/>
            <w:tcBorders/>
            <w:shd w:fill="EDEDED" w:val="clear"/>
            <w:vAlign w:val="center"/>
          </w:tcPr>
          <w:p>
            <w:pPr>
              <w:pStyle w:val="TableContents"/>
              <w:bidi w:val="0"/>
              <w:spacing w:before="0" w:after="283"/>
              <w:jc w:val="left"/>
              <w:rPr/>
            </w:pPr>
            <w:r>
              <w:rPr/>
              <w:t> </w:t>
            </w:r>
          </w:p>
        </w:tc>
        <w:tc>
          <w:tcPr>
            <w:tcW w:w="158" w:type="dxa"/>
            <w:tcBorders/>
            <w:shd w:fill="EDEDED" w:val="clear"/>
            <w:vAlign w:val="center"/>
          </w:tcPr>
          <w:p>
            <w:pPr>
              <w:pStyle w:val="TableContents"/>
              <w:bidi w:val="0"/>
              <w:spacing w:before="0" w:after="0"/>
              <w:jc w:val="left"/>
              <w:rPr>
                <w:color w:val="191919"/>
              </w:rPr>
            </w:pPr>
            <w:r>
              <w:rPr>
                <w:color w:val="191919"/>
              </w:rPr>
              <w:t> </w:t>
            </w:r>
          </w:p>
        </w:tc>
        <w:tc>
          <w:tcPr>
            <w:tcW w:w="1801" w:type="dxa"/>
            <w:tcBorders/>
            <w:shd w:fill="EDEDED" w:val="clear"/>
            <w:vAlign w:val="center"/>
          </w:tcPr>
          <w:p>
            <w:pPr>
              <w:pStyle w:val="TableContents"/>
              <w:bidi w:val="0"/>
              <w:spacing w:before="0" w:after="0"/>
              <w:jc w:val="right"/>
              <w:rPr>
                <w:color w:val="191919"/>
              </w:rPr>
            </w:pPr>
            <w:r>
              <w:rPr>
                <w:color w:val="191919"/>
              </w:rPr>
              <w:t>5,992</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680" w:type="dxa"/>
            <w:tcBorders/>
            <w:shd w:fill="EDEDED" w:val="clear"/>
            <w:vAlign w:val="center"/>
          </w:tcPr>
          <w:p>
            <w:pPr>
              <w:pStyle w:val="TableContents"/>
              <w:bidi w:val="0"/>
              <w:spacing w:before="0" w:after="0"/>
              <w:jc w:val="right"/>
              <w:rPr>
                <w:color w:val="191919"/>
              </w:rPr>
            </w:pPr>
            <w:r>
              <w:rPr>
                <w:color w:val="191919"/>
              </w:rPr>
              <w:t>28,276</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40" w:type="dxa"/>
            <w:tcBorders/>
            <w:shd w:fill="EDEDED" w:val="clear"/>
            <w:vAlign w:val="center"/>
          </w:tcPr>
          <w:p>
            <w:pPr>
              <w:pStyle w:val="TableContents"/>
              <w:bidi w:val="0"/>
              <w:spacing w:before="0" w:after="0"/>
              <w:jc w:val="right"/>
              <w:rPr>
                <w:color w:val="191919"/>
              </w:rPr>
            </w:pPr>
            <w:r>
              <w:rPr>
                <w:color w:val="191919"/>
              </w:rPr>
              <w:t>14.2x  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33" w:type="dxa"/>
            <w:gridSpan w:val="5"/>
            <w:tcBorders/>
            <w:vAlign w:val="center"/>
          </w:tcPr>
          <w:p>
            <w:pPr>
              <w:pStyle w:val="TableContents"/>
              <w:bidi w:val="0"/>
              <w:spacing w:before="0" w:after="283"/>
              <w:jc w:val="left"/>
              <w:rPr>
                <w:sz w:val="4"/>
                <w:szCs w:val="4"/>
              </w:rPr>
            </w:pPr>
            <w:r>
              <w:rPr>
                <w:sz w:val="4"/>
                <w:szCs w:val="4"/>
              </w:rPr>
            </w:r>
          </w:p>
        </w:tc>
        <w:tc>
          <w:tcPr>
            <w:tcW w:w="2300"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Jeff A. Underwood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2270" w:type="dxa"/>
            <w:tcBorders/>
            <w:vAlign w:val="center"/>
          </w:tcPr>
          <w:p>
            <w:pPr>
              <w:pStyle w:val="TableContents"/>
              <w:bidi w:val="0"/>
              <w:spacing w:before="0" w:after="0"/>
              <w:jc w:val="left"/>
              <w:rPr>
                <w:color w:val="191919"/>
              </w:rPr>
            </w:pPr>
            <w:r>
              <w:rPr>
                <w:color w:val="191919"/>
              </w:rPr>
              <w:t>3 x Annual Base Salary</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color w:val="191919"/>
              </w:rPr>
            </w:pPr>
            <w:r>
              <w:rPr>
                <w:color w:val="191919"/>
              </w:rPr>
              <w:t> </w:t>
            </w:r>
          </w:p>
        </w:tc>
        <w:tc>
          <w:tcPr>
            <w:tcW w:w="1801" w:type="dxa"/>
            <w:tcBorders/>
            <w:vAlign w:val="center"/>
          </w:tcPr>
          <w:p>
            <w:pPr>
              <w:pStyle w:val="TableContents"/>
              <w:bidi w:val="0"/>
              <w:spacing w:before="0" w:after="0"/>
              <w:jc w:val="right"/>
              <w:rPr>
                <w:color w:val="191919"/>
              </w:rPr>
            </w:pPr>
            <w:r>
              <w:rPr>
                <w:color w:val="191919"/>
              </w:rPr>
              <w:t>5,070</w:t>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680" w:type="dxa"/>
            <w:tcBorders/>
            <w:vAlign w:val="center"/>
          </w:tcPr>
          <w:p>
            <w:pPr>
              <w:pStyle w:val="TableContents"/>
              <w:bidi w:val="0"/>
              <w:spacing w:before="0" w:after="0"/>
              <w:jc w:val="right"/>
              <w:rPr>
                <w:color w:val="191919"/>
              </w:rPr>
            </w:pPr>
            <w:r>
              <w:rPr>
                <w:color w:val="191919"/>
              </w:rPr>
              <w:t>8,063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040" w:type="dxa"/>
            <w:tcBorders/>
            <w:vAlign w:val="center"/>
          </w:tcPr>
          <w:p>
            <w:pPr>
              <w:pStyle w:val="TableContents"/>
              <w:bidi w:val="0"/>
              <w:spacing w:before="0" w:after="0"/>
              <w:jc w:val="right"/>
              <w:rPr>
                <w:color w:val="191919"/>
              </w:rPr>
            </w:pPr>
            <w:r>
              <w:rPr>
                <w:color w:val="191919"/>
              </w:rPr>
              <w:t>4.8x  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before="0" w:after="283"/>
              <w:jc w:val="left"/>
              <w:rPr>
                <w:sz w:val="4"/>
                <w:szCs w:val="4"/>
              </w:rPr>
            </w:pPr>
            <w:r>
              <w:rPr>
                <w:sz w:val="4"/>
                <w:szCs w:val="4"/>
              </w:rPr>
            </w:r>
          </w:p>
        </w:tc>
        <w:tc>
          <w:tcPr>
            <w:tcW w:w="2533" w:type="dxa"/>
            <w:gridSpan w:val="5"/>
            <w:tcBorders/>
            <w:shd w:fill="EDEDED" w:val="clear"/>
            <w:vAlign w:val="center"/>
          </w:tcPr>
          <w:p>
            <w:pPr>
              <w:pStyle w:val="TableContents"/>
              <w:bidi w:val="0"/>
              <w:spacing w:before="0" w:after="283"/>
              <w:jc w:val="left"/>
              <w:rPr>
                <w:sz w:val="4"/>
                <w:szCs w:val="4"/>
              </w:rPr>
            </w:pPr>
            <w:r>
              <w:rPr>
                <w:sz w:val="4"/>
                <w:szCs w:val="4"/>
              </w:rPr>
            </w:r>
          </w:p>
        </w:tc>
        <w:tc>
          <w:tcPr>
            <w:tcW w:w="2300" w:type="dxa"/>
            <w:gridSpan w:val="5"/>
            <w:tcBorders/>
            <w:shd w:fill="EDEDED" w:val="clear"/>
            <w:vAlign w:val="center"/>
          </w:tcPr>
          <w:p>
            <w:pPr>
              <w:pStyle w:val="TableContents"/>
              <w:bidi w:val="0"/>
              <w:spacing w:before="0" w:after="283"/>
              <w:jc w:val="left"/>
              <w:rPr>
                <w:sz w:val="4"/>
                <w:szCs w:val="4"/>
              </w:rPr>
            </w:pPr>
            <w:r>
              <w:rPr>
                <w:sz w:val="4"/>
                <w:szCs w:val="4"/>
              </w:rPr>
            </w:r>
          </w:p>
        </w:tc>
        <w:tc>
          <w:tcPr>
            <w:tcW w:w="943" w:type="dxa"/>
            <w:gridSpan w:val="5"/>
            <w:tcBorders/>
            <w:shd w:fill="EDEDED" w:val="clear"/>
            <w:vAlign w:val="center"/>
          </w:tcPr>
          <w:p>
            <w:pPr>
              <w:pStyle w:val="TableContents"/>
              <w:bidi w:val="0"/>
              <w:spacing w:before="0" w:after="283"/>
              <w:jc w:val="left"/>
              <w:rPr>
                <w:sz w:val="4"/>
                <w:szCs w:val="4"/>
              </w:rPr>
            </w:pPr>
            <w:r>
              <w:rPr>
                <w:sz w:val="4"/>
                <w:szCs w:val="4"/>
              </w:rPr>
            </w:r>
          </w:p>
        </w:tc>
        <w:tc>
          <w:tcPr>
            <w:tcW w:w="131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Luke E. Alverson</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2270" w:type="dxa"/>
            <w:tcBorders/>
            <w:shd w:fill="EDEDED" w:val="clear"/>
            <w:vAlign w:val="center"/>
          </w:tcPr>
          <w:p>
            <w:pPr>
              <w:pStyle w:val="TableContents"/>
              <w:bidi w:val="0"/>
              <w:spacing w:before="0" w:after="0"/>
              <w:jc w:val="left"/>
              <w:rPr>
                <w:color w:val="191919"/>
              </w:rPr>
            </w:pPr>
            <w:r>
              <w:rPr>
                <w:color w:val="191919"/>
              </w:rPr>
              <w:t>3 x Annual Base Salary</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58" w:type="dxa"/>
            <w:tcBorders/>
            <w:shd w:fill="EDEDED" w:val="clear"/>
            <w:vAlign w:val="center"/>
          </w:tcPr>
          <w:p>
            <w:pPr>
              <w:pStyle w:val="TableContents"/>
              <w:bidi w:val="0"/>
              <w:spacing w:before="0" w:after="283"/>
              <w:jc w:val="left"/>
              <w:rPr/>
            </w:pPr>
            <w:r>
              <w:rPr/>
              <w:t> </w:t>
            </w:r>
          </w:p>
        </w:tc>
        <w:tc>
          <w:tcPr>
            <w:tcW w:w="158" w:type="dxa"/>
            <w:tcBorders/>
            <w:shd w:fill="EDEDED" w:val="clear"/>
            <w:vAlign w:val="center"/>
          </w:tcPr>
          <w:p>
            <w:pPr>
              <w:pStyle w:val="TableContents"/>
              <w:bidi w:val="0"/>
              <w:spacing w:before="0" w:after="0"/>
              <w:jc w:val="left"/>
              <w:rPr>
                <w:color w:val="191919"/>
              </w:rPr>
            </w:pPr>
            <w:r>
              <w:rPr>
                <w:color w:val="191919"/>
              </w:rPr>
              <w:t> </w:t>
            </w:r>
          </w:p>
        </w:tc>
        <w:tc>
          <w:tcPr>
            <w:tcW w:w="1801" w:type="dxa"/>
            <w:tcBorders/>
            <w:shd w:fill="EDEDED" w:val="clear"/>
            <w:vAlign w:val="center"/>
          </w:tcPr>
          <w:p>
            <w:pPr>
              <w:pStyle w:val="TableContents"/>
              <w:bidi w:val="0"/>
              <w:spacing w:before="0" w:after="0"/>
              <w:jc w:val="right"/>
              <w:rPr>
                <w:color w:val="191919"/>
              </w:rPr>
            </w:pPr>
            <w:r>
              <w:rPr>
                <w:color w:val="191919"/>
              </w:rPr>
              <w:t>5,070</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680" w:type="dxa"/>
            <w:tcBorders/>
            <w:shd w:fill="EDEDED" w:val="clear"/>
            <w:vAlign w:val="center"/>
          </w:tcPr>
          <w:p>
            <w:pPr>
              <w:pStyle w:val="TableContents"/>
              <w:bidi w:val="0"/>
              <w:spacing w:before="0" w:after="0"/>
              <w:jc w:val="right"/>
              <w:rPr>
                <w:color w:val="191919"/>
              </w:rPr>
            </w:pPr>
            <w:r>
              <w:rPr>
                <w:color w:val="191919"/>
              </w:rPr>
              <w:t>15,332</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40" w:type="dxa"/>
            <w:tcBorders/>
            <w:shd w:fill="EDEDED" w:val="clear"/>
            <w:vAlign w:val="center"/>
          </w:tcPr>
          <w:p>
            <w:pPr>
              <w:pStyle w:val="TableContents"/>
              <w:bidi w:val="0"/>
              <w:spacing w:before="0" w:after="0"/>
              <w:jc w:val="right"/>
              <w:rPr>
                <w:color w:val="191919"/>
              </w:rPr>
            </w:pPr>
            <w:r>
              <w:rPr>
                <w:color w:val="191919"/>
              </w:rPr>
              <w:t>9.1x  </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33" w:type="dxa"/>
            <w:gridSpan w:val="5"/>
            <w:tcBorders/>
            <w:vAlign w:val="center"/>
          </w:tcPr>
          <w:p>
            <w:pPr>
              <w:pStyle w:val="TableContents"/>
              <w:bidi w:val="0"/>
              <w:spacing w:before="0" w:after="283"/>
              <w:jc w:val="left"/>
              <w:rPr>
                <w:sz w:val="4"/>
                <w:szCs w:val="4"/>
              </w:rPr>
            </w:pPr>
            <w:r>
              <w:rPr>
                <w:sz w:val="4"/>
                <w:szCs w:val="4"/>
              </w:rPr>
            </w:r>
          </w:p>
        </w:tc>
        <w:tc>
          <w:tcPr>
            <w:tcW w:w="2300" w:type="dxa"/>
            <w:gridSpan w:val="5"/>
            <w:tcBorders/>
            <w:vAlign w:val="center"/>
          </w:tcPr>
          <w:p>
            <w:pPr>
              <w:pStyle w:val="TableContents"/>
              <w:bidi w:val="0"/>
              <w:spacing w:before="0" w:after="283"/>
              <w:jc w:val="left"/>
              <w:rPr>
                <w:sz w:val="4"/>
                <w:szCs w:val="4"/>
              </w:rPr>
            </w:pPr>
            <w:r>
              <w:rPr>
                <w:sz w:val="4"/>
                <w:szCs w:val="4"/>
              </w:rPr>
            </w:r>
          </w:p>
        </w:tc>
        <w:tc>
          <w:tcPr>
            <w:tcW w:w="943"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6" w:space="0" w:color="7DB655"/>
            </w:tcBorders>
            <w:tcMar>
              <w:bottom w:w="8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Danielle R. Garde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227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3 x Annual Base Salary</w:t>
            </w:r>
          </w:p>
        </w:tc>
        <w:tc>
          <w:tcPr>
            <w:tcW w:w="23"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58" w:type="dxa"/>
            <w:tcBorders>
              <w:bottom w:val="single" w:sz="6" w:space="0" w:color="7DB655"/>
            </w:tcBorders>
            <w:tcMar>
              <w:bottom w:w="28" w:type="dxa"/>
            </w:tcMar>
            <w:vAlign w:val="center"/>
          </w:tcPr>
          <w:p>
            <w:pPr>
              <w:pStyle w:val="TableContents"/>
              <w:bidi w:val="0"/>
              <w:spacing w:before="0" w:after="283"/>
              <w:jc w:val="left"/>
              <w:rPr/>
            </w:pPr>
            <w:r>
              <w:rPr/>
              <w:t> </w:t>
            </w:r>
          </w:p>
        </w:tc>
        <w:tc>
          <w:tcPr>
            <w:tcW w:w="158"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801" w:type="dxa"/>
            <w:tcBorders>
              <w:bottom w:val="single" w:sz="6" w:space="0" w:color="7DB655"/>
            </w:tcBorders>
            <w:tcMar>
              <w:bottom w:w="80" w:type="dxa"/>
            </w:tcMar>
            <w:vAlign w:val="center"/>
          </w:tcPr>
          <w:p>
            <w:pPr>
              <w:pStyle w:val="TableContents"/>
              <w:bidi w:val="0"/>
              <w:spacing w:before="0" w:after="0"/>
              <w:jc w:val="right"/>
              <w:rPr>
                <w:color w:val="191919"/>
              </w:rPr>
            </w:pPr>
            <w:r>
              <w:rPr>
                <w:color w:val="191919"/>
              </w:rPr>
              <w:t>5,070</w:t>
            </w:r>
          </w:p>
        </w:tc>
        <w:tc>
          <w:tcPr>
            <w:tcW w:w="63"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80" w:type="dxa"/>
            <w:tcBorders>
              <w:bottom w:val="single" w:sz="6" w:space="0" w:color="7DB655"/>
            </w:tcBorders>
            <w:tcMar>
              <w:bottom w:w="80" w:type="dxa"/>
            </w:tcMar>
            <w:vAlign w:val="center"/>
          </w:tcPr>
          <w:p>
            <w:pPr>
              <w:pStyle w:val="TableContents"/>
              <w:bidi w:val="0"/>
              <w:spacing w:before="0" w:after="0"/>
              <w:jc w:val="right"/>
              <w:rPr>
                <w:color w:val="191919"/>
              </w:rPr>
            </w:pPr>
            <w:r>
              <w:rPr>
                <w:color w:val="191919"/>
              </w:rPr>
              <w:t>5,782</w:t>
            </w:r>
          </w:p>
        </w:tc>
        <w:tc>
          <w:tcPr>
            <w:tcW w:w="23"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040" w:type="dxa"/>
            <w:tcBorders>
              <w:bottom w:val="single" w:sz="6" w:space="0" w:color="7DB655"/>
            </w:tcBorders>
            <w:tcMar>
              <w:bottom w:w="80" w:type="dxa"/>
            </w:tcMar>
            <w:vAlign w:val="center"/>
          </w:tcPr>
          <w:p>
            <w:pPr>
              <w:pStyle w:val="TableContents"/>
              <w:bidi w:val="0"/>
              <w:spacing w:before="0" w:after="0"/>
              <w:jc w:val="right"/>
              <w:rPr>
                <w:color w:val="191919"/>
              </w:rPr>
            </w:pPr>
            <w:r>
              <w:rPr>
                <w:color w:val="191919"/>
              </w:rPr>
              <w:t>3.4x  </w:t>
            </w:r>
          </w:p>
        </w:tc>
        <w:tc>
          <w:tcPr>
            <w:tcW w:w="38"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305"/>
        <w:gridCol w:w="6335"/>
      </w:tblGrid>
      <w:tr>
        <w:trPr/>
        <w:tc>
          <w:tcPr>
            <w:tcW w:w="305" w:type="dxa"/>
            <w:tcBorders/>
            <w:vAlign w:val="center"/>
          </w:tcPr>
          <w:p>
            <w:pPr>
              <w:pStyle w:val="TableContents"/>
              <w:bidi w:val="0"/>
              <w:spacing w:before="0" w:after="0"/>
              <w:jc w:val="left"/>
              <w:rPr>
                <w:i/>
                <w:color w:val="191919"/>
              </w:rPr>
            </w:pPr>
            <w:r>
              <w:rPr>
                <w:i/>
                <w:color w:val="191919"/>
              </w:rPr>
              <w:t>(1)</w:t>
            </w:r>
          </w:p>
        </w:tc>
        <w:tc>
          <w:tcPr>
            <w:tcW w:w="633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Based on a price per share of $260.58, the closing price of the Company’s stock on March 31, 2026. </w:t>
            </w:r>
          </w:p>
        </w:tc>
      </w:tr>
    </w:tbl>
    <w:p>
      <w:pPr>
        <w:pStyle w:val="TextBody"/>
        <w:bidi w:val="0"/>
        <w:spacing w:before="240" w:after="0"/>
        <w:jc w:val="left"/>
        <w:rPr>
          <w:rFonts w:ascii="Arial" w:hAnsi="Arial"/>
          <w:color w:val="191919"/>
          <w:sz w:val="18"/>
        </w:rPr>
      </w:pPr>
      <w:r>
        <w:rPr>
          <w:rFonts w:ascii="Arial" w:hAnsi="Arial"/>
          <w:color w:val="191919"/>
          <w:sz w:val="18"/>
        </w:rPr>
        <w:t xml:space="preserve">Executives are expected to meet the stock ownership guidelines within five years from the date the guidelines are first applicable. Recognizing the time required to achieve the ownership guidelines, our guidelines contain an interim retention requirement. Specifically, executives who do not yet meet the applicable ownership requirement must retain at least 75% of the vested common stock they receive from equity awards granted from the time the ownership guidelines become applicable, net of any shares used or sold to pay applicable tax withholding. For fiscal 2026, all NEOs satisfied their ownership guideline or retention requirement.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periodically reviews the stock ownership guidelines and no less than annually monitors the executives’ progress toward meeting their target ownership levels. Shares held directly by an executive count toward satisfying the requirements, as do unvested restricted stock awards, but unvested equity awards with performance-based vesting conditions do not. </w:t>
      </w:r>
    </w:p>
    <w:p>
      <w:pPr>
        <w:pStyle w:val="TextBody"/>
        <w:bidi w:val="0"/>
        <w:spacing w:before="0" w:after="0"/>
        <w:jc w:val="left"/>
        <w:rPr/>
      </w:pPr>
      <w:r>
        <w:rPr/>
        <w:t> </w:t>
      </w:r>
    </w:p>
    <w:p>
      <w:pPr>
        <w:pStyle w:val="TextBody"/>
        <w:bidi w:val="0"/>
        <w:spacing w:before="0" w:after="0"/>
        <w:jc w:val="left"/>
        <w:rPr/>
      </w:pPr>
      <w:r>
        <w:rPr/>
        <w:t> </w:t>
      </w:r>
    </w:p>
    <w:tbl>
      <w:tblPr>
        <w:tblW w:w="3663"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520"/>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5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18" descr=""/>
                          <pic:cNvPicPr>
                            <a:picLocks noChangeAspect="1" noChangeArrowheads="1"/>
                          </pic:cNvPicPr>
                        </pic:nvPicPr>
                        <pic:blipFill>
                          <a:blip r:embed="rId32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0"/>
              <w:jc w:val="center"/>
              <w:rPr/>
            </w:pPr>
            <w:r>
              <w:rPr/>
              <w:t> </w:t>
            </w:r>
          </w:p>
          <w:p>
            <w:pPr>
              <w:pStyle w:val="TableContents"/>
              <w:bidi w:val="0"/>
              <w:spacing w:before="0" w:after="20"/>
              <w:jc w:val="center"/>
              <w:rPr>
                <w:rFonts w:ascii="Arial" w:hAnsi="Arial"/>
                <w:color w:val="7DB655"/>
                <w:sz w:val="14"/>
              </w:rPr>
            </w:pPr>
            <w:r>
              <w:rPr>
                <w:rFonts w:ascii="Arial" w:hAnsi="Arial"/>
                <w:color w:val="7DB655"/>
                <w:sz w:val="14"/>
              </w:rPr>
              <w:t>|</w:t>
            </w:r>
          </w:p>
          <w:p>
            <w:pPr>
              <w:pStyle w:val="TableContents"/>
              <w:bidi w:val="0"/>
              <w:spacing w:before="0" w:after="20"/>
              <w:jc w:val="center"/>
              <w:rPr/>
            </w:pPr>
            <w:r>
              <w:rPr/>
              <w:t> </w:t>
            </w:r>
            <w:r>
              <w:rPr>
                <w:rFonts w:ascii="Arial" w:hAnsi="Arial"/>
                <w:sz w:val="14"/>
              </w:rPr>
              <w:t>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rPr>
            </w:pPr>
            <w:r>
              <w:rPr>
                <w:b/>
              </w:rPr>
              <w:t>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Recoupment of Incentive Compensation Policy </w:t>
      </w:r>
    </w:p>
    <w:p>
      <w:pPr>
        <w:pStyle w:val="TextBody"/>
        <w:bidi w:val="0"/>
        <w:spacing w:before="240" w:after="0"/>
        <w:jc w:val="left"/>
        <w:rPr>
          <w:rFonts w:ascii="Arial" w:hAnsi="Arial"/>
          <w:color w:val="191919"/>
          <w:sz w:val="18"/>
        </w:rPr>
      </w:pPr>
      <w:r>
        <w:rPr>
          <w:rFonts w:ascii="Arial" w:hAnsi="Arial"/>
          <w:color w:val="191919"/>
          <w:sz w:val="18"/>
        </w:rPr>
        <w:t xml:space="preserve">The Company maintains a NYSE-compliant Dodd-Frank Recoupment of Incentive Compensation Policy (the “Recoupment Policy”), which reinforces our commitment to our business objectives and core values. Under the Recoupment Policy, the Compensation Committee can “claw back” from an executive certain incentive compensation paid in the past three years if the Company is required to restate its financial statements. If a restatement occurs, the Compensation Committee will require any current or relevant former executive to reimburse the Company when the amount of compensation received was greater than the amount the Compensation Committee believes was actually earned based on the restated financial results. The Recoupment Policy does not require any finding of fault or malfeasance on the part of an executive to support the Company’s demand for recoupment. </w:t>
      </w:r>
    </w:p>
    <w:p>
      <w:pPr>
        <w:pStyle w:val="TextBody"/>
        <w:bidi w:val="0"/>
        <w:spacing w:before="360" w:after="0"/>
        <w:jc w:val="left"/>
        <w:rPr>
          <w:rFonts w:ascii="Arial" w:hAnsi="Arial"/>
          <w:b/>
          <w:color w:val="0A7DAC"/>
          <w:sz w:val="25"/>
        </w:rPr>
      </w:pPr>
      <w:r>
        <w:rPr>
          <w:rFonts w:ascii="Arial" w:hAnsi="Arial"/>
          <w:b/>
          <w:color w:val="0A7DAC"/>
          <w:sz w:val="25"/>
        </w:rPr>
        <w:t xml:space="preserve">Legacy Pension Plans </w:t>
      </w:r>
    </w:p>
    <w:p>
      <w:pPr>
        <w:pStyle w:val="TextBody"/>
        <w:bidi w:val="0"/>
        <w:spacing w:before="240" w:after="0"/>
        <w:jc w:val="left"/>
        <w:rPr>
          <w:rFonts w:ascii="Arial" w:hAnsi="Arial"/>
          <w:color w:val="191919"/>
          <w:sz w:val="18"/>
        </w:rPr>
      </w:pPr>
      <w:r>
        <w:rPr>
          <w:rFonts w:ascii="Arial" w:hAnsi="Arial"/>
          <w:color w:val="191919"/>
          <w:sz w:val="18"/>
        </w:rPr>
        <w:t xml:space="preserve">In connection with our spin-off from Capital Southwest Corporation in September 2015 (the “Spin-Off”), the Company assumed administrative responsibility and liability for certain legacy pension plans and the associated benefits payable to participating employees. On January 1, 2015, the legacy pension plans were closed to new participants. At the Spin-Off, the Company froze the legacy pension plans, and future benefits to plan participants ceased to accrue as of that date. Mr. Armes is the only NEO who accrued benefits under the legacy plans as part of his prior employment with Capital Southwest Corporation. In September 2019, the Company terminated the legacy pension plans. </w:t>
      </w:r>
    </w:p>
    <w:p>
      <w:pPr>
        <w:pStyle w:val="TextBody"/>
        <w:bidi w:val="0"/>
        <w:spacing w:before="240" w:after="0"/>
        <w:jc w:val="left"/>
        <w:rPr>
          <w:rFonts w:ascii="Arial" w:hAnsi="Arial"/>
          <w:color w:val="191919"/>
          <w:sz w:val="18"/>
        </w:rPr>
      </w:pPr>
      <w:r>
        <w:rPr>
          <w:rFonts w:ascii="Arial" w:hAnsi="Arial"/>
          <w:color w:val="191919"/>
          <w:sz w:val="18"/>
        </w:rPr>
        <w:t xml:space="preserve">The legacy pension plans included a qualified defined benefit, non-contributory retirement plan, as well as a restoration plan that provided benefits to the plan participants in the qualified plan to fulfill the intent of the qualified plan without regard to limitations under the Internal Revenue Code of 1986, as amended (the “Code”). The retirement benefits payable under the legacy pension plans depended on the participant’s years of service and their final average monthly compensation determined by averaging the five consecutive years of highest compensation prior to retirement. The amount of legacy pension plan benefits attributable to Mr. Armes as of March 31, 2026, and prior to the plan termination is shown in the “2026 Pension Benefits” table below. </w:t>
      </w:r>
    </w:p>
    <w:p>
      <w:pPr>
        <w:pStyle w:val="TextBody"/>
        <w:bidi w:val="0"/>
        <w:spacing w:before="360" w:after="0"/>
        <w:jc w:val="left"/>
        <w:rPr>
          <w:rFonts w:ascii="Arial" w:hAnsi="Arial"/>
          <w:b/>
          <w:color w:val="0A7DAC"/>
          <w:sz w:val="25"/>
        </w:rPr>
      </w:pPr>
      <w:r>
        <w:rPr>
          <w:rFonts w:ascii="Arial" w:hAnsi="Arial"/>
          <w:b/>
          <w:color w:val="0A7DAC"/>
          <w:sz w:val="25"/>
        </w:rPr>
        <w:t xml:space="preserve">Other Benefits </w:t>
      </w:r>
    </w:p>
    <w:p>
      <w:pPr>
        <w:pStyle w:val="TextBody"/>
        <w:bidi w:val="0"/>
        <w:spacing w:before="240" w:after="0"/>
        <w:jc w:val="left"/>
        <w:rPr>
          <w:rFonts w:ascii="Arial" w:hAnsi="Arial"/>
          <w:color w:val="191919"/>
          <w:sz w:val="18"/>
        </w:rPr>
      </w:pPr>
      <w:r>
        <w:rPr>
          <w:rFonts w:ascii="Arial" w:hAnsi="Arial"/>
          <w:color w:val="191919"/>
          <w:sz w:val="18"/>
        </w:rPr>
        <w:t xml:space="preserve">As previously discussed, the Compensation Committee strives to make our executive compensation program primarily performance-based and, as such, does not provide perquisites for our executive officers other than benefits generally provided to all employees, such as profit sharing through the Company’s 401(k) plan and ESOP. Our executive compensation program from time to time may provide limited other benefits that the Compensation Committee determines to be competitive with the level of benefits offered by the companies with which we compete for executive talent. Any such benefits would serve to meet our stated objective of attracting and retaining executive talent. In addition, some benefits may, in the Compensation Committee’s view, be provided for the Company’s benefit, notwithstanding any personal benefit an executive may derive. No such other benefits were provided in fiscal 2026. </w:t>
      </w:r>
    </w:p>
    <w:p>
      <w:pPr>
        <w:pStyle w:val="TextBody"/>
        <w:bidi w:val="0"/>
        <w:spacing w:before="360" w:after="0"/>
        <w:jc w:val="left"/>
        <w:rPr>
          <w:rFonts w:ascii="Arial" w:hAnsi="Arial"/>
          <w:b/>
          <w:color w:val="191919"/>
          <w:sz w:val="26"/>
        </w:rPr>
      </w:pPr>
      <w:r>
        <w:rPr>
          <w:rFonts w:ascii="Arial" w:hAnsi="Arial"/>
          <w:b/>
          <w:color w:val="191919"/>
          <w:sz w:val="26"/>
        </w:rPr>
        <w:t xml:space="preserve">Chief Executive Officer Compensation in Fiscal 2026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set our CEO’s compensation in a manner consistent with our compensation philosophy and the general compensation objectives and principles discussed above. In the interest of providing shareholders with a better understanding of Mr. Armes’ compensation for fiscal 2026, we are providing the following discussion and analysis. </w:t>
      </w:r>
    </w:p>
    <w:p>
      <w:pPr>
        <w:pStyle w:val="TextBody"/>
        <w:bidi w:val="0"/>
        <w:spacing w:before="360" w:after="0"/>
        <w:jc w:val="left"/>
        <w:rPr>
          <w:rFonts w:ascii="Arial" w:hAnsi="Arial"/>
          <w:b/>
          <w:color w:val="0A7DAC"/>
          <w:sz w:val="24"/>
        </w:rPr>
      </w:pPr>
      <w:r>
        <w:rPr>
          <w:rFonts w:ascii="Arial" w:hAnsi="Arial"/>
          <w:b/>
          <w:color w:val="0A7DAC"/>
          <w:sz w:val="24"/>
        </w:rPr>
        <w:t xml:space="preserve">Employment Agreement </w:t>
      </w:r>
    </w:p>
    <w:p>
      <w:pPr>
        <w:pStyle w:val="TextBody"/>
        <w:bidi w:val="0"/>
        <w:spacing w:before="240" w:after="0"/>
        <w:jc w:val="left"/>
        <w:rPr>
          <w:rFonts w:ascii="Arial" w:hAnsi="Arial"/>
          <w:color w:val="191919"/>
          <w:sz w:val="18"/>
        </w:rPr>
      </w:pPr>
      <w:r>
        <w:rPr>
          <w:rFonts w:ascii="Arial" w:hAnsi="Arial"/>
          <w:color w:val="191919"/>
          <w:sz w:val="18"/>
        </w:rPr>
        <w:t xml:space="preserve">On October 1, 2015, the Company entered into an employment agreement with Mr. Armes. The employment agreement provides that Mr. Armes will serve as CEO of the Company and that the Board will nominate Mr. Armes for election to the Board during the term of the agreement. The employment agreement had an initial term of two years, but the term automatically extends for additional one-year periods unless Mr. Armes’ employment is terminated as provided in the employment agreement. Mr. Armes is the only NEO with whom the Company has entered into an employment agreement.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5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19" descr=""/>
                          <pic:cNvPicPr>
                            <a:picLocks noChangeAspect="1" noChangeArrowheads="1"/>
                          </pic:cNvPicPr>
                        </pic:nvPicPr>
                        <pic:blipFill>
                          <a:blip r:embed="rId32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Base Salary and Incentive Opportunities </w:t>
      </w:r>
    </w:p>
    <w:p>
      <w:pPr>
        <w:pStyle w:val="TextBody"/>
        <w:bidi w:val="0"/>
        <w:spacing w:before="240" w:after="0"/>
        <w:jc w:val="left"/>
        <w:rPr>
          <w:rFonts w:ascii="Arial" w:hAnsi="Arial"/>
          <w:b/>
          <w:color w:val="191919"/>
          <w:sz w:val="21"/>
        </w:rPr>
      </w:pPr>
      <w:r>
        <w:rPr>
          <w:rFonts w:ascii="Arial" w:hAnsi="Arial"/>
          <w:b/>
          <w:color w:val="191919"/>
          <w:sz w:val="21"/>
        </w:rPr>
        <w:t xml:space="preserve">Base Salary </w:t>
      </w:r>
    </w:p>
    <w:p>
      <w:pPr>
        <w:pStyle w:val="TextBody"/>
        <w:bidi w:val="0"/>
        <w:spacing w:before="240" w:after="0"/>
        <w:jc w:val="left"/>
        <w:rPr>
          <w:rFonts w:ascii="Arial" w:hAnsi="Arial"/>
          <w:color w:val="191919"/>
          <w:sz w:val="18"/>
        </w:rPr>
      </w:pPr>
      <w:r>
        <w:rPr>
          <w:rFonts w:ascii="Arial" w:hAnsi="Arial"/>
          <w:color w:val="191919"/>
          <w:sz w:val="18"/>
        </w:rPr>
        <w:t xml:space="preserve">During fiscal 2026 Mr. Armes’ base salary was increased by 8.8% to $925,000. As discussed previously, this increase was made to address proximity to competitive market benchmarks, consistent with our stated executive compensation objectives and principles and supported by Mr. Armes’ performance. </w:t>
      </w:r>
    </w:p>
    <w:p>
      <w:pPr>
        <w:pStyle w:val="TextBody"/>
        <w:bidi w:val="0"/>
        <w:spacing w:before="360" w:after="0"/>
        <w:jc w:val="left"/>
        <w:rPr>
          <w:rFonts w:ascii="Arial" w:hAnsi="Arial"/>
          <w:b/>
          <w:color w:val="191919"/>
          <w:sz w:val="21"/>
        </w:rPr>
      </w:pPr>
      <w:r>
        <w:rPr>
          <w:rFonts w:ascii="Arial" w:hAnsi="Arial"/>
          <w:b/>
          <w:color w:val="191919"/>
          <w:sz w:val="21"/>
        </w:rPr>
        <w:t xml:space="preserve">AIP Target and Fiscal 2026 Award </w:t>
      </w:r>
    </w:p>
    <w:p>
      <w:pPr>
        <w:pStyle w:val="TextBody"/>
        <w:bidi w:val="0"/>
        <w:spacing w:before="240" w:after="0"/>
        <w:jc w:val="left"/>
        <w:rPr>
          <w:rFonts w:ascii="Arial" w:hAnsi="Arial"/>
          <w:color w:val="191919"/>
          <w:sz w:val="18"/>
        </w:rPr>
      </w:pPr>
      <w:r>
        <w:rPr>
          <w:rFonts w:ascii="Arial" w:hAnsi="Arial"/>
          <w:color w:val="191919"/>
          <w:sz w:val="18"/>
        </w:rPr>
        <w:t xml:space="preserve">During fiscal 2026, Mr. Armes’ target AIP opportunity was maintained at 130% of base salary. After performance results for the fiscal year were confirmed, the Compensation Committee approved a total AIP payout of $1,286,976, or 107.0% of target, broken down as follows: </w:t>
      </w:r>
    </w:p>
    <w:p>
      <w:pPr>
        <w:pStyle w:val="TextBody"/>
        <w:bidi w:val="0"/>
        <w:spacing w:before="0" w:after="0"/>
        <w:jc w:val="left"/>
        <w:rPr/>
      </w:pPr>
      <w:r>
        <w:rPr/>
        <w:t> </w:t>
      </w:r>
    </w:p>
    <w:tbl>
      <w:tblPr>
        <w:tblW w:w="6065" w:type="dxa"/>
        <w:jc w:val="left"/>
        <w:tblInd w:w="0" w:type="dxa"/>
        <w:tblLayout w:type="fixed"/>
        <w:tblCellMar>
          <w:top w:w="0" w:type="dxa"/>
          <w:left w:w="0" w:type="dxa"/>
          <w:bottom w:w="0" w:type="dxa"/>
          <w:right w:w="0" w:type="dxa"/>
        </w:tblCellMar>
      </w:tblPr>
      <w:tblGrid>
        <w:gridCol w:w="2570"/>
        <w:gridCol w:w="120"/>
        <w:gridCol w:w="1190"/>
        <w:gridCol w:w="240"/>
        <w:gridCol w:w="141"/>
        <w:gridCol w:w="614"/>
        <w:gridCol w:w="60"/>
        <w:gridCol w:w="240"/>
        <w:gridCol w:w="60"/>
        <w:gridCol w:w="755"/>
        <w:gridCol w:w="75"/>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Metric</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Amount ($)</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755"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Weight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815"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Payout</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Consolidated EBITDA</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color w:val="191919"/>
              </w:rPr>
            </w:pPr>
            <w:r>
              <w:rPr>
                <w:color w:val="191919"/>
              </w:rPr>
              <w:t>684,704</w:t>
            </w:r>
          </w:p>
        </w:tc>
        <w:tc>
          <w:tcPr>
            <w:tcW w:w="24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color w:val="191919"/>
              </w:rPr>
            </w:pPr>
            <w:r>
              <w:rPr>
                <w:color w:val="191919"/>
              </w:rPr>
              <w:t> </w:t>
            </w:r>
          </w:p>
        </w:tc>
        <w:tc>
          <w:tcPr>
            <w:tcW w:w="614" w:type="dxa"/>
            <w:tcBorders/>
            <w:vAlign w:val="center"/>
          </w:tcPr>
          <w:p>
            <w:pPr>
              <w:pStyle w:val="TableContents"/>
              <w:bidi w:val="0"/>
              <w:spacing w:before="0" w:after="283"/>
              <w:jc w:val="right"/>
              <w:rPr>
                <w:color w:val="191919"/>
              </w:rPr>
            </w:pPr>
            <w:r>
              <w:rPr>
                <w:color w:val="191919"/>
              </w:rPr>
              <w:t>60%</w:t>
            </w:r>
          </w:p>
        </w:tc>
        <w:tc>
          <w:tcPr>
            <w:tcW w:w="60" w:type="dxa"/>
            <w:tcBorders/>
            <w:vAlign w:val="center"/>
          </w:tcPr>
          <w:p>
            <w:pPr>
              <w:pStyle w:val="TableContents"/>
              <w:bidi w:val="0"/>
              <w:spacing w:before="0" w:after="283"/>
              <w:jc w:val="left"/>
              <w:rPr>
                <w:color w:val="191919"/>
              </w:rPr>
            </w:pPr>
            <w:r>
              <w:rPr>
                <w:color w:val="191919"/>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755" w:type="dxa"/>
            <w:tcBorders/>
            <w:vAlign w:val="center"/>
          </w:tcPr>
          <w:p>
            <w:pPr>
              <w:pStyle w:val="TableContents"/>
              <w:bidi w:val="0"/>
              <w:spacing w:before="0" w:after="283"/>
              <w:jc w:val="right"/>
              <w:rPr>
                <w:color w:val="191919"/>
              </w:rPr>
            </w:pPr>
            <w:r>
              <w:rPr>
                <w:color w:val="191919"/>
              </w:rPr>
              <w:t>94.9%</w:t>
            </w:r>
          </w:p>
        </w:tc>
        <w:tc>
          <w:tcPr>
            <w:tcW w:w="75" w:type="dxa"/>
            <w:tcBorders/>
            <w:vAlign w:val="center"/>
          </w:tcPr>
          <w:p>
            <w:pPr>
              <w:pStyle w:val="TableContents"/>
              <w:bidi w:val="0"/>
              <w:spacing w:before="0" w:after="283"/>
              <w:jc w:val="left"/>
              <w:rPr>
                <w:color w:val="191919"/>
              </w:rPr>
            </w:pPr>
            <w:r>
              <w:rPr>
                <w:color w:val="191919"/>
              </w:rPr>
              <w:t> </w:t>
            </w:r>
          </w:p>
        </w:tc>
      </w:tr>
      <w:tr>
        <w:trPr/>
        <w:tc>
          <w:tcPr>
            <w:tcW w:w="2570" w:type="dxa"/>
            <w:tcBorders/>
            <w:shd w:fill="EDEDED" w:val="clear"/>
            <w:vAlign w:val="center"/>
          </w:tcPr>
          <w:p>
            <w:pPr>
              <w:pStyle w:val="TableContents"/>
              <w:bidi w:val="0"/>
              <w:spacing w:before="0" w:after="283"/>
              <w:jc w:val="left"/>
              <w:rPr>
                <w:sz w:val="4"/>
                <w:szCs w:val="4"/>
              </w:rPr>
            </w:pPr>
            <w:r>
              <w:rPr>
                <w:sz w:val="4"/>
                <w:szCs w:val="4"/>
              </w:rPr>
            </w:r>
          </w:p>
        </w:tc>
        <w:tc>
          <w:tcPr>
            <w:tcW w:w="1310" w:type="dxa"/>
            <w:gridSpan w:val="2"/>
            <w:tcBorders/>
            <w:shd w:fill="EDEDED" w:val="clear"/>
            <w:vAlign w:val="center"/>
          </w:tcPr>
          <w:p>
            <w:pPr>
              <w:pStyle w:val="TableContents"/>
              <w:bidi w:val="0"/>
              <w:spacing w:before="0" w:after="283"/>
              <w:jc w:val="left"/>
              <w:rPr>
                <w:sz w:val="4"/>
                <w:szCs w:val="4"/>
              </w:rPr>
            </w:pPr>
            <w:r>
              <w:rPr>
                <w:sz w:val="4"/>
                <w:szCs w:val="4"/>
              </w:rPr>
            </w:r>
          </w:p>
        </w:tc>
        <w:tc>
          <w:tcPr>
            <w:tcW w:w="1055" w:type="dxa"/>
            <w:gridSpan w:val="4"/>
            <w:tcBorders/>
            <w:shd w:fill="EDEDED" w:val="clear"/>
            <w:vAlign w:val="center"/>
          </w:tcPr>
          <w:p>
            <w:pPr>
              <w:pStyle w:val="TableContents"/>
              <w:bidi w:val="0"/>
              <w:spacing w:before="0" w:after="283"/>
              <w:jc w:val="left"/>
              <w:rPr>
                <w:sz w:val="4"/>
                <w:szCs w:val="4"/>
              </w:rPr>
            </w:pPr>
            <w:r>
              <w:rPr>
                <w:sz w:val="4"/>
                <w:szCs w:val="4"/>
              </w:rPr>
            </w:r>
          </w:p>
        </w:tc>
        <w:tc>
          <w:tcPr>
            <w:tcW w:w="113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570"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Consolidated Operating Cash Flow</w:t>
            </w:r>
          </w:p>
        </w:tc>
        <w:tc>
          <w:tcPr>
            <w:tcW w:w="120" w:type="dxa"/>
            <w:tcBorders/>
            <w:shd w:fill="EDEDED" w:val="clear"/>
            <w:vAlign w:val="center"/>
          </w:tcPr>
          <w:p>
            <w:pPr>
              <w:pStyle w:val="TableContents"/>
              <w:bidi w:val="0"/>
              <w:spacing w:before="0" w:after="283"/>
              <w:jc w:val="left"/>
              <w:rPr/>
            </w:pPr>
            <w:r>
              <w:rPr/>
              <w:t>  </w:t>
            </w:r>
          </w:p>
        </w:tc>
        <w:tc>
          <w:tcPr>
            <w:tcW w:w="1190" w:type="dxa"/>
            <w:tcBorders/>
            <w:shd w:fill="EDEDED" w:val="clear"/>
            <w:vAlign w:val="center"/>
          </w:tcPr>
          <w:p>
            <w:pPr>
              <w:pStyle w:val="TableContents"/>
              <w:bidi w:val="0"/>
              <w:spacing w:before="0" w:after="283"/>
              <w:jc w:val="center"/>
              <w:rPr>
                <w:color w:val="191919"/>
              </w:rPr>
            </w:pPr>
            <w:r>
              <w:rPr>
                <w:color w:val="191919"/>
              </w:rPr>
              <w:t>286,616</w:t>
            </w:r>
          </w:p>
        </w:tc>
        <w:tc>
          <w:tcPr>
            <w:tcW w:w="240" w:type="dxa"/>
            <w:tcBorders/>
            <w:shd w:fill="EDEDED" w:val="clear"/>
            <w:vAlign w:val="center"/>
          </w:tcPr>
          <w:p>
            <w:pPr>
              <w:pStyle w:val="TableContents"/>
              <w:bidi w:val="0"/>
              <w:spacing w:before="0" w:after="283"/>
              <w:jc w:val="left"/>
              <w:rPr/>
            </w:pPr>
            <w:r>
              <w:rPr/>
              <w:t>    </w:t>
            </w:r>
          </w:p>
        </w:tc>
        <w:tc>
          <w:tcPr>
            <w:tcW w:w="141" w:type="dxa"/>
            <w:tcBorders/>
            <w:shd w:fill="EDEDED" w:val="clear"/>
            <w:vAlign w:val="center"/>
          </w:tcPr>
          <w:p>
            <w:pPr>
              <w:pStyle w:val="TableContents"/>
              <w:bidi w:val="0"/>
              <w:spacing w:before="0" w:after="283"/>
              <w:jc w:val="left"/>
              <w:rPr>
                <w:color w:val="191919"/>
              </w:rPr>
            </w:pPr>
            <w:r>
              <w:rPr>
                <w:color w:val="191919"/>
              </w:rPr>
              <w:t> </w:t>
            </w:r>
          </w:p>
        </w:tc>
        <w:tc>
          <w:tcPr>
            <w:tcW w:w="614" w:type="dxa"/>
            <w:tcBorders/>
            <w:shd w:fill="EDEDED" w:val="clear"/>
            <w:vAlign w:val="center"/>
          </w:tcPr>
          <w:p>
            <w:pPr>
              <w:pStyle w:val="TableContents"/>
              <w:bidi w:val="0"/>
              <w:spacing w:before="0" w:after="283"/>
              <w:jc w:val="right"/>
              <w:rPr>
                <w:color w:val="191919"/>
              </w:rPr>
            </w:pPr>
            <w:r>
              <w:rPr>
                <w:color w:val="191919"/>
              </w:rPr>
              <w:t>15%</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24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755" w:type="dxa"/>
            <w:tcBorders/>
            <w:shd w:fill="EDEDED" w:val="clear"/>
            <w:vAlign w:val="center"/>
          </w:tcPr>
          <w:p>
            <w:pPr>
              <w:pStyle w:val="TableContents"/>
              <w:bidi w:val="0"/>
              <w:spacing w:before="0" w:after="283"/>
              <w:jc w:val="right"/>
              <w:rPr>
                <w:color w:val="191919"/>
              </w:rPr>
            </w:pPr>
            <w:r>
              <w:rPr>
                <w:color w:val="191919"/>
              </w:rPr>
              <w:t>158.9%</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r>
      <w:tr>
        <w:trPr/>
        <w:tc>
          <w:tcPr>
            <w:tcW w:w="2570" w:type="dxa"/>
            <w:tcBorders>
              <w:bottom w:val="single" w:sz="6" w:space="0" w:color="7DB655"/>
            </w:tcBorders>
            <w:tcMar>
              <w:bottom w:w="60" w:type="dxa"/>
            </w:tcMar>
            <w:vAlign w:val="center"/>
          </w:tcPr>
          <w:p>
            <w:pPr>
              <w:pStyle w:val="TableContents"/>
              <w:bidi w:val="0"/>
              <w:spacing w:before="0" w:after="0"/>
              <w:jc w:val="left"/>
              <w:rPr>
                <w:rFonts w:ascii="Arial" w:hAnsi="Arial"/>
                <w:color w:val="191919"/>
                <w:sz w:val="17"/>
              </w:rPr>
            </w:pPr>
            <w:r>
              <w:rPr>
                <w:rFonts w:ascii="Arial" w:hAnsi="Arial"/>
                <w:color w:val="191919"/>
                <w:sz w:val="17"/>
              </w:rPr>
              <w:t>Individual Performance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190"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315,656</w:t>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141"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614" w:type="dxa"/>
            <w:tcBorders>
              <w:bottom w:val="single" w:sz="6" w:space="0" w:color="7DB655"/>
            </w:tcBorders>
            <w:tcMar>
              <w:bottom w:w="60" w:type="dxa"/>
            </w:tcMar>
            <w:vAlign w:val="center"/>
          </w:tcPr>
          <w:p>
            <w:pPr>
              <w:pStyle w:val="TableContents"/>
              <w:bidi w:val="0"/>
              <w:spacing w:before="0" w:after="283"/>
              <w:jc w:val="right"/>
              <w:rPr>
                <w:color w:val="191919"/>
              </w:rPr>
            </w:pPr>
            <w:r>
              <w:rPr>
                <w:color w:val="191919"/>
              </w:rPr>
              <w:t>25%</w:t>
            </w:r>
          </w:p>
        </w:tc>
        <w:tc>
          <w:tcPr>
            <w:tcW w:w="6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24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755" w:type="dxa"/>
            <w:tcBorders>
              <w:bottom w:val="single" w:sz="6" w:space="0" w:color="7DB655"/>
            </w:tcBorders>
            <w:tcMar>
              <w:bottom w:w="60" w:type="dxa"/>
            </w:tcMar>
            <w:vAlign w:val="center"/>
          </w:tcPr>
          <w:p>
            <w:pPr>
              <w:pStyle w:val="TableContents"/>
              <w:bidi w:val="0"/>
              <w:spacing w:before="0" w:after="283"/>
              <w:jc w:val="right"/>
              <w:rPr>
                <w:color w:val="191919"/>
              </w:rPr>
            </w:pPr>
            <w:r>
              <w:rPr>
                <w:color w:val="191919"/>
              </w:rPr>
              <w:t>105.0%</w:t>
            </w:r>
          </w:p>
        </w:tc>
        <w:tc>
          <w:tcPr>
            <w:tcW w:w="75"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r>
    </w:tbl>
    <w:p>
      <w:pPr>
        <w:pStyle w:val="TextBody"/>
        <w:bidi w:val="0"/>
        <w:spacing w:before="360" w:after="0"/>
        <w:jc w:val="left"/>
        <w:rPr>
          <w:rFonts w:ascii="Arial" w:hAnsi="Arial"/>
          <w:b/>
          <w:color w:val="191919"/>
          <w:sz w:val="21"/>
        </w:rPr>
      </w:pPr>
      <w:r>
        <w:rPr>
          <w:rFonts w:ascii="Arial" w:hAnsi="Arial"/>
          <w:b/>
          <w:color w:val="191919"/>
          <w:sz w:val="21"/>
        </w:rPr>
        <w:t xml:space="preserve">LTIP Target and Fiscal 2026 LTIP Awards </w:t>
      </w:r>
    </w:p>
    <w:p>
      <w:pPr>
        <w:pStyle w:val="TextBody"/>
        <w:bidi w:val="0"/>
        <w:spacing w:before="240" w:after="0"/>
        <w:jc w:val="left"/>
        <w:rPr>
          <w:rFonts w:ascii="Arial" w:hAnsi="Arial"/>
          <w:color w:val="191919"/>
          <w:sz w:val="18"/>
        </w:rPr>
      </w:pPr>
      <w:r>
        <w:rPr>
          <w:rFonts w:ascii="Arial" w:hAnsi="Arial"/>
          <w:b/>
          <w:i/>
          <w:color w:val="191919"/>
          <w:sz w:val="18"/>
        </w:rPr>
        <w:t>Annual LTIP Awards.</w:t>
      </w:r>
      <w:r>
        <w:rPr>
          <w:rFonts w:ascii="Arial" w:hAnsi="Arial"/>
          <w:color w:val="191919"/>
          <w:sz w:val="18"/>
        </w:rPr>
        <w:t xml:space="preserve"> During fiscal 2026, Mr. Armes’ target LTIP opportunity was increased to 425% of base salary, addressing proximity to competitive market benchmarks and consistent with our stated executive compensation objectives and principles and supported by Mr. Armes’ performance. As discussed above, the Compensation Committee maintained Mr. Armes’ LTIP award mix at 60% performance shares and 40% restricted stock. These factors increased Mr. Armes’ performance-based compensation as a percentage of total target compensation to 58.8%, and increased his “at risk” target pay to 84.7%. </w:t>
      </w:r>
    </w:p>
    <w:p>
      <w:pPr>
        <w:pStyle w:val="TextBody"/>
        <w:bidi w:val="0"/>
        <w:spacing w:before="240" w:after="0"/>
        <w:jc w:val="left"/>
        <w:rPr>
          <w:rFonts w:ascii="Arial" w:hAnsi="Arial"/>
          <w:color w:val="191919"/>
          <w:sz w:val="18"/>
        </w:rPr>
      </w:pPr>
      <w:r>
        <w:rPr>
          <w:rFonts w:ascii="Arial" w:hAnsi="Arial"/>
          <w:color w:val="191919"/>
          <w:sz w:val="18"/>
        </w:rPr>
        <w:t xml:space="preserve">Accordingly, Mr. Armes received an award of 8,004 performance shares in May 2025 ($2,358,750 target award value), and an award of 5,971 shares of restricted stock in October 2025 ($1,572,500 target award value). Mr. Armes did not receive any special equity awards outside of the LTIP in fiscal 2026. </w:t>
      </w:r>
    </w:p>
    <w:p>
      <w:pPr>
        <w:pStyle w:val="TextBody"/>
        <w:bidi w:val="0"/>
        <w:spacing w:before="360" w:after="0"/>
        <w:jc w:val="left"/>
        <w:rPr>
          <w:rFonts w:ascii="Arial" w:hAnsi="Arial"/>
          <w:b/>
          <w:color w:val="0A7DAC"/>
          <w:sz w:val="25"/>
        </w:rPr>
      </w:pPr>
      <w:r>
        <w:rPr>
          <w:rFonts w:ascii="Arial" w:hAnsi="Arial"/>
          <w:b/>
          <w:color w:val="0A7DAC"/>
          <w:sz w:val="25"/>
        </w:rPr>
        <w:t xml:space="preserve">Benefits Upon Termination </w:t>
      </w:r>
    </w:p>
    <w:p>
      <w:pPr>
        <w:pStyle w:val="TextBody"/>
        <w:bidi w:val="0"/>
        <w:spacing w:before="240" w:after="0"/>
        <w:jc w:val="left"/>
        <w:rPr>
          <w:rFonts w:ascii="Arial" w:hAnsi="Arial"/>
          <w:color w:val="191919"/>
          <w:sz w:val="18"/>
        </w:rPr>
      </w:pPr>
      <w:r>
        <w:rPr>
          <w:rFonts w:ascii="Arial" w:hAnsi="Arial"/>
          <w:color w:val="191919"/>
          <w:sz w:val="18"/>
        </w:rPr>
        <w:t xml:space="preserve">Under Mr. Armes’ employment agreement, if his employment is terminated due to death or disability, Mr. Armes will receive (1) his base salary and any unpaid benefits (including death benefits) through the date of termination; (2) the AIP cash payment related to the previous year, if the date of termination is after the end of a fiscal year but before the Company pays AIP cash incentives; and (3) a prorated AIP cash payment related to the then-current fiscal year, if the date of termination is before the end of a fiscal year. Additionally, all of Mr. Armes’ unvested equity-based awards will immediately vest in full, except for performance-based awards, which will vest when and to the extent that the performance conditions have been satisfied. Any options he holds will remain exercisable for one year following the date of termination. </w:t>
      </w:r>
    </w:p>
    <w:p>
      <w:pPr>
        <w:pStyle w:val="TextBody"/>
        <w:bidi w:val="0"/>
        <w:spacing w:before="240" w:after="0"/>
        <w:jc w:val="left"/>
        <w:rPr>
          <w:rFonts w:ascii="Arial" w:hAnsi="Arial"/>
          <w:color w:val="191919"/>
          <w:sz w:val="18"/>
        </w:rPr>
      </w:pPr>
      <w:r>
        <w:rPr>
          <w:rFonts w:ascii="Arial" w:hAnsi="Arial"/>
          <w:color w:val="191919"/>
          <w:sz w:val="18"/>
        </w:rPr>
        <w:t xml:space="preserve">If Mr. Armes’ employment is terminated by the Company without “cause” or by Mr. Armes for “good reason,” Mr. Armes will receive (1) his base salary and any unpaid benefits through the date of termination; (2) a lump sum payment equal to two times the sum of (a) his then-current base salary or any higher base salary that was in effect during the 12 months prior to the date of termination, and (b) the greater of his annual AIP payment for the prior fiscal year or his target AIP incentive for the current year; (3) the AIP cash payment related to the previous year, if the date of termination is after the end of a fiscal year but before the Company pays AIP cash incentives; (4) a prorated AIP cash payment related to the then-current fiscal year, if the date of termination is before the end of a fiscal year; and (5) continued medical and dental insurance for him and his dependents for 24 months following the date of termination. Additionally, and with certain exceptions related to Mr. Armes’ Special Equity Grant, all of Mr. Armes’ unvested equity-based awards will immediately vest in full, except for performance-based awards, which will vest when and only to the extent that the performance conditions have been satisfied.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5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0" descr=""/>
                          <pic:cNvPicPr>
                            <a:picLocks noChangeAspect="1" noChangeArrowheads="1"/>
                          </pic:cNvPicPr>
                        </pic:nvPicPr>
                        <pic:blipFill>
                          <a:blip r:embed="rId32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If Mr. Armes’ employment is terminated by the Company for “cause” or by Mr. Armes without “good reason,” Mr. Armes will receive only his base salary and any unpaid benefits through the date of termination. </w:t>
      </w:r>
    </w:p>
    <w:p>
      <w:pPr>
        <w:pStyle w:val="TextBody"/>
        <w:bidi w:val="0"/>
        <w:spacing w:before="240" w:after="0"/>
        <w:jc w:val="left"/>
        <w:rPr>
          <w:rFonts w:ascii="Arial" w:hAnsi="Arial"/>
          <w:color w:val="191919"/>
          <w:sz w:val="18"/>
        </w:rPr>
      </w:pPr>
      <w:r>
        <w:rPr>
          <w:rFonts w:ascii="Arial" w:hAnsi="Arial"/>
          <w:color w:val="191919"/>
          <w:sz w:val="18"/>
        </w:rPr>
        <w:t xml:space="preserve">Additionally, Mr. Armes participates in the Company’s Executive Change in Control and Severance Benefit Plan (the “CIC and Severance Plan”). To the extent the provisions of the CIC and Severance Plan are more beneficial to Mr. Armes than the terms set forth in his employment agreement, such provisions would apply in the applicable termination scenario. </w:t>
      </w:r>
    </w:p>
    <w:p>
      <w:pPr>
        <w:pStyle w:val="TextBody"/>
        <w:bidi w:val="0"/>
        <w:spacing w:before="240" w:after="0"/>
        <w:jc w:val="left"/>
        <w:rPr>
          <w:rFonts w:ascii="Arial" w:hAnsi="Arial"/>
          <w:color w:val="191919"/>
          <w:sz w:val="18"/>
        </w:rPr>
      </w:pPr>
      <w:r>
        <w:rPr>
          <w:rFonts w:ascii="Arial" w:hAnsi="Arial"/>
          <w:color w:val="191919"/>
          <w:sz w:val="18"/>
        </w:rPr>
        <w:t xml:space="preserve">The employment agreement also provides that Mr. Armes will not engage in activities that are competitive with the Company’s business or solicit any key employees of the Company to leave or accept employment with another company for 24 months following the date of termination. </w:t>
      </w:r>
    </w:p>
    <w:p>
      <w:pPr>
        <w:pStyle w:val="TextBody"/>
        <w:bidi w:val="0"/>
        <w:spacing w:before="360" w:after="0"/>
        <w:jc w:val="left"/>
        <w:rPr>
          <w:rFonts w:ascii="Arial" w:hAnsi="Arial"/>
          <w:b/>
          <w:color w:val="191919"/>
          <w:sz w:val="26"/>
        </w:rPr>
      </w:pPr>
      <w:r>
        <w:rPr>
          <w:rFonts w:ascii="Arial" w:hAnsi="Arial"/>
          <w:b/>
          <w:color w:val="191919"/>
          <w:sz w:val="26"/>
        </w:rPr>
        <w:t xml:space="preserve">Executive Change in Control and Severance Benefit Plan </w:t>
      </w:r>
    </w:p>
    <w:p>
      <w:pPr>
        <w:pStyle w:val="TextBody"/>
        <w:bidi w:val="0"/>
        <w:spacing w:before="240" w:after="0"/>
        <w:jc w:val="left"/>
        <w:rPr>
          <w:rFonts w:ascii="Arial" w:hAnsi="Arial"/>
          <w:color w:val="191919"/>
          <w:sz w:val="18"/>
        </w:rPr>
      </w:pPr>
      <w:r>
        <w:rPr>
          <w:rFonts w:ascii="Arial" w:hAnsi="Arial"/>
          <w:color w:val="191919"/>
          <w:sz w:val="18"/>
        </w:rPr>
        <w:t xml:space="preserve">The Company maintains the CIC and Severance Plan. This plan is publicly filed, and its features are described more fully under “Potential Payments upon Termination or Change-In-Control—CSW Industrials, Inc. Executive Change in Control and Severance Benefit Plan” below. The Compensation Committee believes that this plan benefits shareholders in providing consistency and transparency in severance benefits if an executive officer’s employment is terminated, and also supports alignment between executive interests and shareholder interests should a transformative transaction arise that is in shareholders’ best interests. </w:t>
      </w:r>
    </w:p>
    <w:p>
      <w:pPr>
        <w:pStyle w:val="TextBody"/>
        <w:bidi w:val="0"/>
        <w:spacing w:before="360" w:after="0"/>
        <w:jc w:val="left"/>
        <w:rPr>
          <w:rFonts w:ascii="Arial" w:hAnsi="Arial"/>
          <w:b/>
          <w:color w:val="191919"/>
          <w:sz w:val="26"/>
        </w:rPr>
      </w:pPr>
      <w:r>
        <w:rPr>
          <w:rFonts w:ascii="Arial" w:hAnsi="Arial"/>
          <w:b/>
          <w:color w:val="191919"/>
          <w:sz w:val="26"/>
        </w:rPr>
        <w:t xml:space="preserve">Review and Assessment of Compensation Under Termination Scenarios </w:t>
      </w:r>
    </w:p>
    <w:p>
      <w:pPr>
        <w:pStyle w:val="TextBody"/>
        <w:bidi w:val="0"/>
        <w:spacing w:before="240" w:after="0"/>
        <w:jc w:val="left"/>
        <w:rPr>
          <w:rFonts w:ascii="Arial" w:hAnsi="Arial"/>
          <w:color w:val="191919"/>
          <w:sz w:val="18"/>
        </w:rPr>
      </w:pPr>
      <w:r>
        <w:rPr>
          <w:rFonts w:ascii="Arial" w:hAnsi="Arial"/>
          <w:color w:val="191919"/>
          <w:sz w:val="18"/>
        </w:rPr>
        <w:t xml:space="preserve">The Compensation Committee regularly reviews each NEO’s total compensation under several scenarios including a change-in-control of the Company, termination of employment by the Company, and resignation or retirement by the executive. Tally sheets setting forth all the listed scenarios are prepared by management and reviewed by the Compensation Committee with input from WTW. Based on its most recent review of the tally sheets, the Compensation Committee determined that the potential payments that would be provided to the NEOs were consistent with our executive compensation objectives and principles. </w:t>
      </w:r>
    </w:p>
    <w:p>
      <w:pPr>
        <w:pStyle w:val="TextBody"/>
        <w:bidi w:val="0"/>
        <w:spacing w:before="360" w:after="0"/>
        <w:jc w:val="left"/>
        <w:rPr>
          <w:rFonts w:ascii="Arial" w:hAnsi="Arial"/>
          <w:b/>
          <w:color w:val="191919"/>
          <w:sz w:val="26"/>
        </w:rPr>
      </w:pPr>
      <w:r>
        <w:rPr>
          <w:rFonts w:ascii="Arial" w:hAnsi="Arial"/>
          <w:b/>
          <w:color w:val="191919"/>
          <w:sz w:val="26"/>
        </w:rPr>
        <w:t xml:space="preserve">Executive Compensation Program Changes for Fiscal 2027 </w:t>
      </w:r>
    </w:p>
    <w:p>
      <w:pPr>
        <w:pStyle w:val="TextBody"/>
        <w:bidi w:val="0"/>
        <w:spacing w:before="240" w:after="0"/>
        <w:jc w:val="left"/>
        <w:rPr>
          <w:rFonts w:ascii="Arial" w:hAnsi="Arial"/>
          <w:color w:val="191919"/>
          <w:sz w:val="18"/>
        </w:rPr>
      </w:pPr>
      <w:r>
        <w:rPr>
          <w:rFonts w:ascii="Arial" w:hAnsi="Arial"/>
          <w:color w:val="191919"/>
          <w:sz w:val="18"/>
        </w:rPr>
        <w:t xml:space="preserve">For the benefit of our shareholders, we summarize below certain changes and other matters that the Compensation Committee has approved regarding our fiscal 2027 executive compensation program. These and any other fiscal 2027 compensation program changes will be discussed in further detail in our proxy statement for the 2027 annual meeting of shareholders. </w:t>
      </w:r>
    </w:p>
    <w:p>
      <w:pPr>
        <w:pStyle w:val="TextBody"/>
        <w:bidi w:val="0"/>
        <w:spacing w:before="360" w:after="0"/>
        <w:jc w:val="left"/>
        <w:rPr>
          <w:rFonts w:ascii="Arial" w:hAnsi="Arial"/>
          <w:b/>
          <w:color w:val="0A7DAC"/>
          <w:sz w:val="24"/>
        </w:rPr>
      </w:pPr>
      <w:r>
        <w:rPr>
          <w:rFonts w:ascii="Arial" w:hAnsi="Arial"/>
          <w:b/>
          <w:color w:val="0A7DAC"/>
          <w:sz w:val="24"/>
        </w:rPr>
        <w:t xml:space="preserve">Annual Incentive Plan Changes </w:t>
      </w:r>
    </w:p>
    <w:p>
      <w:pPr>
        <w:pStyle w:val="TextBody"/>
        <w:bidi w:val="0"/>
        <w:spacing w:before="240" w:after="0"/>
        <w:jc w:val="left"/>
        <w:rPr>
          <w:rFonts w:ascii="Arial" w:hAnsi="Arial"/>
          <w:color w:val="191919"/>
          <w:sz w:val="18"/>
        </w:rPr>
      </w:pPr>
      <w:r>
        <w:rPr>
          <w:rFonts w:ascii="Arial" w:hAnsi="Arial"/>
          <w:b/>
          <w:i/>
          <w:color w:val="191919"/>
          <w:sz w:val="18"/>
        </w:rPr>
        <w:t>Metric Target Setting and Weighting</w:t>
      </w:r>
      <w:r>
        <w:rPr>
          <w:rFonts w:ascii="Arial" w:hAnsi="Arial"/>
          <w:color w:val="191919"/>
          <w:sz w:val="18"/>
        </w:rPr>
        <w:t xml:space="preserve">. In fiscal 2026 and as stated above, the Compensation Committee returned to a semi-annual target-setting process for our AIP metrics. For fiscal 2027, the Compensation Committee, with the support of WTW and management, will continue setting financial metric targets semi-annually under our AIP. As we have demonstrated in prior years, the semi-annual AIP target-setting process provides an artful solution to target setting difficulties that exist in the face of unique market conditions and their associated challenges. These factors continue to be present in fiscal 2027 and are enhanced by our ongoing efforts to integrate our over $1 billion of acquisitions completed in fiscal 2026, as well as the disruptions caused by global events, U.S. and international trade policies, and ongoing macroeconomic uncertainty. </w:t>
      </w:r>
    </w:p>
    <w:p>
      <w:pPr>
        <w:pStyle w:val="TextBody"/>
        <w:bidi w:val="0"/>
        <w:spacing w:before="240" w:after="0"/>
        <w:jc w:val="left"/>
        <w:rPr>
          <w:rFonts w:ascii="Arial" w:hAnsi="Arial"/>
          <w:color w:val="191919"/>
          <w:sz w:val="18"/>
        </w:rPr>
      </w:pPr>
      <w:r>
        <w:rPr>
          <w:rFonts w:ascii="Arial" w:hAnsi="Arial"/>
          <w:color w:val="191919"/>
          <w:sz w:val="18"/>
        </w:rPr>
        <w:t xml:space="preserve">When we have used semi-annual target setting practices under our AIP in the past, we used a simple average of first half and second half performance payouts to determine the full fiscal year payouts for each financial metric. However, in fiscal 2027, full fiscal year AIP payouts will be determined by weighting first half EBITDA and OCF performance payouts at 60% of full year payout, and weighting second half EBITDA and OCF performance payouts at 40% of full year payout. As we have discussed publicly, the acquisitions we completed in fiscal 2026 are expected to increase the effects of market seasonality on our financial results, which is expected to further increase the amount of our full year EBITDA and OCF performance that is delivered in the first half of the year compared to the second half. Given this, the Compensation Committee and management believe this modified weighting of first and second half performance payouts in calculating full year payouts will more closely align the AIP’s full year outcome with the Company’s actual delivery of EBITDA and OCF throughout the fiscal year.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5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21" descr=""/>
                          <pic:cNvPicPr>
                            <a:picLocks noChangeAspect="1" noChangeArrowheads="1"/>
                          </pic:cNvPicPr>
                        </pic:nvPicPr>
                        <pic:blipFill>
                          <a:blip r:embed="rId325"/>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Summary Compensation Table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37" w:name="toc36145_20a"/>
      <w:bookmarkStart w:id="38" w:name="txa136145_11"/>
      <w:bookmarkEnd w:id="37"/>
      <w:bookmarkEnd w:id="38"/>
      <w:r>
        <w:rPr>
          <w:rFonts w:ascii="Arial" w:hAnsi="Arial"/>
          <w:b/>
          <w:color w:val="7DB655"/>
          <w:sz w:val="30"/>
        </w:rPr>
        <w:t xml:space="preserve">Summary Compensation Table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compensation information for our NEOs—the individuals who served during fiscal 2026 as principal executive officer and principal financial officer of the Company, and the three other most highly compensated executive officers of the Company serving at the end of fiscal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8"/>
        <w:gridCol w:w="60"/>
        <w:gridCol w:w="628"/>
        <w:gridCol w:w="60"/>
        <w:gridCol w:w="60"/>
        <w:gridCol w:w="800"/>
        <w:gridCol w:w="60"/>
        <w:gridCol w:w="60"/>
        <w:gridCol w:w="60"/>
        <w:gridCol w:w="980"/>
        <w:gridCol w:w="272"/>
        <w:gridCol w:w="60"/>
        <w:gridCol w:w="85"/>
        <w:gridCol w:w="1405"/>
        <w:gridCol w:w="60"/>
        <w:gridCol w:w="60"/>
        <w:gridCol w:w="1490"/>
        <w:gridCol w:w="60"/>
        <w:gridCol w:w="1490"/>
        <w:gridCol w:w="60"/>
        <w:gridCol w:w="757"/>
      </w:tblGrid>
      <w:tr>
        <w:trPr/>
        <w:tc>
          <w:tcPr>
            <w:tcW w:w="1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638" w:type="dxa"/>
            <w:tcBorders>
              <w:bottom w:val="single" w:sz="56" w:space="0" w:color="7DB655"/>
            </w:tcBorders>
            <w:tcMar>
              <w:bottom w:w="6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 and</w:t>
            </w:r>
          </w:p>
          <w:p>
            <w:pPr>
              <w:pStyle w:val="TableContents"/>
              <w:bidi w:val="0"/>
              <w:spacing w:before="0" w:after="20"/>
              <w:jc w:val="left"/>
              <w:rPr>
                <w:rFonts w:ascii="Arial" w:hAnsi="Arial"/>
                <w:b/>
                <w:color w:val="191919"/>
                <w:sz w:val="16"/>
              </w:rPr>
            </w:pPr>
            <w:r>
              <w:rPr>
                <w:rFonts w:ascii="Arial" w:hAnsi="Arial"/>
                <w:b/>
                <w:color w:val="191919"/>
                <w:sz w:val="16"/>
              </w:rPr>
              <w:t>Principal Position</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28" w:type="dxa"/>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Year(1)</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860"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Salary</w:t>
              <w:br/>
              <w: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Stock</w:t>
              <w:br/>
              <w:t>Awards</w:t>
              <w:br/>
              <w:t>($)(2)</w:t>
            </w:r>
          </w:p>
        </w:tc>
        <w:tc>
          <w:tcPr>
            <w:tcW w:w="272"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90"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Non-Equity</w:t>
              <w:br/>
              <w:t>Incentive Plan</w:t>
              <w:br/>
              <w:t>Compensation</w:t>
              <w:br/>
              <w:t>($)(3)</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90" w:type="dxa"/>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Change in</w:t>
              <w:br/>
              <w:t>Pension</w:t>
              <w:br/>
              <w:t>Value and</w:t>
              <w:br/>
              <w:t>Non-qualified</w:t>
              <w:br/>
              <w:t>Deferred</w:t>
              <w:br/>
              <w:t>Compensation</w:t>
              <w:br/>
              <w:t>Earnings</w:t>
              <w:br/>
              <w:t>($)(4)</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90" w:type="dxa"/>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All Other</w:t>
              <w:br/>
              <w:t>Compensation</w:t>
              <w:br/>
              <w:t>($)(5)</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757" w:type="dxa"/>
            <w:tcBorders>
              <w:bottom w:val="single" w:sz="56" w:space="0" w:color="7DB655"/>
            </w:tcBorders>
            <w:tcMar>
              <w:bottom w:w="6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Total </w:t>
            </w:r>
          </w:p>
          <w:p>
            <w:pPr>
              <w:pStyle w:val="TableContents"/>
              <w:bidi w:val="0"/>
              <w:spacing w:before="0" w:after="20"/>
              <w:jc w:val="center"/>
              <w:rPr>
                <w:rFonts w:ascii="Arial" w:hAnsi="Arial"/>
                <w:b/>
                <w:color w:val="191919"/>
                <w:sz w:val="16"/>
              </w:rPr>
            </w:pPr>
            <w:r>
              <w:rPr>
                <w:rFonts w:ascii="Arial" w:hAnsi="Arial"/>
                <w:b/>
                <w:color w:val="191919"/>
                <w:sz w:val="16"/>
              </w:rPr>
              <w:t>($) </w:t>
            </w:r>
          </w:p>
        </w:tc>
      </w:tr>
      <w:tr>
        <w:trPr/>
        <w:tc>
          <w:tcPr>
            <w:tcW w:w="1638"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Joseph B. Armes</w:t>
            </w:r>
          </w:p>
          <w:p>
            <w:pPr>
              <w:pStyle w:val="TableContents"/>
              <w:bidi w:val="0"/>
              <w:spacing w:before="0" w:after="20"/>
              <w:jc w:val="left"/>
              <w:rPr>
                <w:rFonts w:ascii="Arial" w:hAnsi="Arial"/>
                <w:color w:val="191919"/>
                <w:sz w:val="17"/>
              </w:rPr>
            </w:pPr>
            <w:r>
              <w:rPr>
                <w:rFonts w:ascii="Arial" w:hAnsi="Arial"/>
                <w:color w:val="191919"/>
                <w:sz w:val="17"/>
              </w:rPr>
              <w:t>Chairman, CEO and President</w:t>
            </w:r>
          </w:p>
        </w:tc>
        <w:tc>
          <w:tcPr>
            <w:tcW w:w="6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8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925,000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4,938,001</w:t>
            </w:r>
          </w:p>
        </w:tc>
        <w:tc>
          <w:tcPr>
            <w:tcW w:w="272"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(6)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40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1,286,976</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4,420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119,218</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7,273,615</w:t>
            </w:r>
          </w:p>
        </w:tc>
      </w:tr>
      <w:tr>
        <w:trPr/>
        <w:tc>
          <w:tcPr>
            <w:tcW w:w="163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center"/>
              <w:rPr>
                <w:color w:val="191919"/>
              </w:rPr>
            </w:pPr>
            <w:r>
              <w:rPr>
                <w:color w:val="191919"/>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850,000</w:t>
            </w:r>
          </w:p>
        </w:tc>
        <w:tc>
          <w:tcPr>
            <w:tcW w:w="60"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4,221,414</w:t>
            </w:r>
          </w:p>
        </w:tc>
        <w:tc>
          <w:tcPr>
            <w:tcW w:w="272"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191919"/>
              </w:rPr>
            </w:pPr>
            <w:r>
              <w:rPr>
                <w:color w:val="191919"/>
              </w:rPr>
              <w:t> </w:t>
            </w:r>
          </w:p>
        </w:tc>
        <w:tc>
          <w:tcPr>
            <w:tcW w:w="1405" w:type="dxa"/>
            <w:tcBorders/>
            <w:vAlign w:val="center"/>
          </w:tcPr>
          <w:p>
            <w:pPr>
              <w:pStyle w:val="TableContents"/>
              <w:bidi w:val="0"/>
              <w:spacing w:before="0" w:after="283"/>
              <w:jc w:val="right"/>
              <w:rPr>
                <w:color w:val="191919"/>
              </w:rPr>
            </w:pPr>
            <w:r>
              <w:rPr>
                <w:color w:val="191919"/>
              </w:rPr>
              <w:t>1,147,784</w:t>
            </w:r>
          </w:p>
        </w:tc>
        <w:tc>
          <w:tcPr>
            <w:tcW w:w="60"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color w:val="191919"/>
              </w:rPr>
            </w:pPr>
            <w:r>
              <w:rPr>
                <w:color w:val="191919"/>
              </w:rPr>
              <w:t>5,148</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color w:val="191919"/>
              </w:rPr>
            </w:pPr>
            <w:r>
              <w:rPr>
                <w:color w:val="191919"/>
              </w:rPr>
              <w:t>106,133</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center"/>
              <w:rPr>
                <w:rFonts w:ascii="Arial" w:hAnsi="Arial"/>
                <w:color w:val="191919"/>
                <w:sz w:val="17"/>
              </w:rPr>
            </w:pPr>
            <w:r>
              <w:rPr>
                <w:rFonts w:ascii="Arial" w:hAnsi="Arial"/>
                <w:color w:val="191919"/>
                <w:sz w:val="17"/>
              </w:rPr>
              <w:t>6,330,479</w:t>
            </w:r>
          </w:p>
        </w:tc>
      </w:tr>
      <w:tr>
        <w:trPr/>
        <w:tc>
          <w:tcPr>
            <w:tcW w:w="163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center"/>
              <w:rPr>
                <w:color w:val="191919"/>
              </w:rPr>
            </w:pPr>
            <w:r>
              <w:rPr>
                <w:color w:val="191919"/>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800,000</w:t>
            </w:r>
          </w:p>
        </w:tc>
        <w:tc>
          <w:tcPr>
            <w:tcW w:w="60"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3,733,051</w:t>
            </w:r>
          </w:p>
        </w:tc>
        <w:tc>
          <w:tcPr>
            <w:tcW w:w="272"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191919"/>
              </w:rPr>
            </w:pPr>
            <w:r>
              <w:rPr>
                <w:color w:val="191919"/>
              </w:rPr>
              <w:t> </w:t>
            </w:r>
          </w:p>
        </w:tc>
        <w:tc>
          <w:tcPr>
            <w:tcW w:w="1405" w:type="dxa"/>
            <w:tcBorders/>
            <w:vAlign w:val="center"/>
          </w:tcPr>
          <w:p>
            <w:pPr>
              <w:pStyle w:val="TableContents"/>
              <w:bidi w:val="0"/>
              <w:spacing w:before="0" w:after="283"/>
              <w:jc w:val="right"/>
              <w:rPr>
                <w:color w:val="191919"/>
              </w:rPr>
            </w:pPr>
            <w:r>
              <w:rPr>
                <w:color w:val="191919"/>
              </w:rPr>
              <w:t>1,324,960</w:t>
            </w:r>
          </w:p>
        </w:tc>
        <w:tc>
          <w:tcPr>
            <w:tcW w:w="60"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color w:val="191919"/>
              </w:rPr>
            </w:pPr>
            <w:r>
              <w:rPr>
                <w:color w:val="191919"/>
              </w:rPr>
              <w:t>3,022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color w:val="191919"/>
              </w:rPr>
            </w:pPr>
            <w:r>
              <w:rPr>
                <w:color w:val="191919"/>
              </w:rPr>
              <w:t>102,212</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center"/>
              <w:rPr>
                <w:rFonts w:ascii="Arial" w:hAnsi="Arial"/>
                <w:color w:val="191919"/>
                <w:sz w:val="17"/>
              </w:rPr>
            </w:pPr>
            <w:r>
              <w:rPr>
                <w:rFonts w:ascii="Arial" w:hAnsi="Arial"/>
                <w:color w:val="191919"/>
                <w:sz w:val="17"/>
              </w:rPr>
              <w:t>5,963,245</w:t>
            </w:r>
          </w:p>
        </w:tc>
      </w:tr>
      <w:tr>
        <w:trPr/>
        <w:tc>
          <w:tcPr>
            <w:tcW w:w="1638" w:type="dxa"/>
            <w:vMerge w:val="restart"/>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James E. Perry</w:t>
            </w:r>
          </w:p>
          <w:p>
            <w:pPr>
              <w:pStyle w:val="TableContents"/>
              <w:bidi w:val="0"/>
              <w:spacing w:before="0" w:after="20"/>
              <w:jc w:val="left"/>
              <w:rPr>
                <w:rFonts w:ascii="Arial" w:hAnsi="Arial"/>
                <w:color w:val="191919"/>
                <w:sz w:val="17"/>
              </w:rPr>
            </w:pPr>
            <w:r>
              <w:rPr>
                <w:rFonts w:ascii="Arial" w:hAnsi="Arial"/>
                <w:color w:val="191919"/>
                <w:sz w:val="17"/>
              </w:rPr>
              <w:t>Executive VP, CFO</w:t>
            </w:r>
          </w:p>
        </w:tc>
        <w:tc>
          <w:tcPr>
            <w:tcW w:w="60" w:type="dxa"/>
            <w:tcBorders/>
            <w:shd w:fill="EDEDED" w:val="clear"/>
            <w:vAlign w:val="center"/>
          </w:tcPr>
          <w:p>
            <w:pPr>
              <w:pStyle w:val="TableContents"/>
              <w:bidi w:val="0"/>
              <w:spacing w:before="0" w:after="283"/>
              <w:jc w:val="left"/>
              <w:rPr/>
            </w:pPr>
            <w:r>
              <w:rPr/>
              <w:t> </w:t>
            </w:r>
          </w:p>
        </w:tc>
        <w:tc>
          <w:tcPr>
            <w:tcW w:w="628"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2026</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80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520,000</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1,097,869</w:t>
            </w:r>
          </w:p>
        </w:tc>
        <w:tc>
          <w:tcPr>
            <w:tcW w:w="272"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(7)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405"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417,398</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 </w:t>
            </w:r>
            <w:r>
              <w:rPr>
                <w:rFonts w:ascii="Arial" w:hAnsi="Arial"/>
                <w:color w:val="191919"/>
                <w:sz w:val="17"/>
              </w:rPr>
              <w:t>77,146</w:t>
            </w:r>
          </w:p>
        </w:tc>
        <w:tc>
          <w:tcPr>
            <w:tcW w:w="60" w:type="dxa"/>
            <w:tcBorders/>
            <w:shd w:fill="EDEDED" w:val="clear"/>
            <w:vAlign w:val="center"/>
          </w:tcPr>
          <w:p>
            <w:pPr>
              <w:pStyle w:val="TableContents"/>
              <w:bidi w:val="0"/>
              <w:spacing w:before="0" w:after="283"/>
              <w:jc w:val="left"/>
              <w:rPr/>
            </w:pPr>
            <w:r>
              <w:rPr/>
              <w:t> </w:t>
            </w:r>
          </w:p>
        </w:tc>
        <w:tc>
          <w:tcPr>
            <w:tcW w:w="757"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2,112,413</w:t>
            </w:r>
          </w:p>
        </w:tc>
      </w:tr>
      <w:tr>
        <w:trPr/>
        <w:tc>
          <w:tcPr>
            <w:tcW w:w="1638"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628" w:type="dxa"/>
            <w:tcBorders/>
            <w:shd w:fill="EDEDED" w:val="clear"/>
            <w:vAlign w:val="center"/>
          </w:tcPr>
          <w:p>
            <w:pPr>
              <w:pStyle w:val="TableContents"/>
              <w:bidi w:val="0"/>
              <w:spacing w:before="0" w:after="283"/>
              <w:jc w:val="center"/>
              <w:rPr>
                <w:color w:val="191919"/>
              </w:rPr>
            </w:pPr>
            <w:r>
              <w:rPr>
                <w:color w:val="191919"/>
              </w:rPr>
              <w:t>2025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495,000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1,125,065</w:t>
            </w:r>
          </w:p>
        </w:tc>
        <w:tc>
          <w:tcPr>
            <w:tcW w:w="272"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283"/>
              <w:jc w:val="left"/>
              <w:rPr>
                <w:color w:val="191919"/>
              </w:rPr>
            </w:pPr>
            <w:r>
              <w:rPr>
                <w:color w:val="191919"/>
              </w:rPr>
              <w:t> </w:t>
            </w:r>
          </w:p>
        </w:tc>
        <w:tc>
          <w:tcPr>
            <w:tcW w:w="1405" w:type="dxa"/>
            <w:tcBorders/>
            <w:shd w:fill="EDEDED" w:val="clear"/>
            <w:vAlign w:val="center"/>
          </w:tcPr>
          <w:p>
            <w:pPr>
              <w:pStyle w:val="TableContents"/>
              <w:bidi w:val="0"/>
              <w:spacing w:before="0" w:after="283"/>
              <w:jc w:val="right"/>
              <w:rPr>
                <w:color w:val="191919"/>
              </w:rPr>
            </w:pPr>
            <w:r>
              <w:rPr>
                <w:color w:val="191919"/>
              </w:rPr>
              <w:t>391,512</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 </w:t>
            </w:r>
            <w:r>
              <w:rPr>
                <w:color w:val="191919"/>
              </w:rPr>
              <w:t>74,521</w:t>
            </w:r>
          </w:p>
        </w:tc>
        <w:tc>
          <w:tcPr>
            <w:tcW w:w="60" w:type="dxa"/>
            <w:tcBorders/>
            <w:shd w:fill="EDEDED" w:val="clear"/>
            <w:vAlign w:val="center"/>
          </w:tcPr>
          <w:p>
            <w:pPr>
              <w:pStyle w:val="TableContents"/>
              <w:bidi w:val="0"/>
              <w:spacing w:before="0" w:after="283"/>
              <w:jc w:val="left"/>
              <w:rPr/>
            </w:pPr>
            <w:r>
              <w:rPr/>
              <w:t> </w:t>
            </w:r>
          </w:p>
        </w:tc>
        <w:tc>
          <w:tcPr>
            <w:tcW w:w="757" w:type="dxa"/>
            <w:tcBorders/>
            <w:shd w:fill="EDEDED" w:val="clear"/>
            <w:vAlign w:val="center"/>
          </w:tcPr>
          <w:p>
            <w:pPr>
              <w:pStyle w:val="TableContents"/>
              <w:bidi w:val="0"/>
              <w:spacing w:before="0" w:after="0"/>
              <w:jc w:val="center"/>
              <w:rPr>
                <w:rFonts w:ascii="Arial" w:hAnsi="Arial"/>
                <w:color w:val="191919"/>
                <w:sz w:val="17"/>
              </w:rPr>
            </w:pPr>
            <w:r>
              <w:rPr>
                <w:rFonts w:ascii="Arial" w:hAnsi="Arial"/>
                <w:color w:val="191919"/>
                <w:sz w:val="17"/>
              </w:rPr>
              <w:t>2,086,098</w:t>
            </w:r>
          </w:p>
        </w:tc>
      </w:tr>
      <w:tr>
        <w:trPr/>
        <w:tc>
          <w:tcPr>
            <w:tcW w:w="1638"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628" w:type="dxa"/>
            <w:tcBorders/>
            <w:shd w:fill="EDEDED" w:val="clear"/>
            <w:vAlign w:val="center"/>
          </w:tcPr>
          <w:p>
            <w:pPr>
              <w:pStyle w:val="TableContents"/>
              <w:bidi w:val="0"/>
              <w:spacing w:before="0" w:after="283"/>
              <w:jc w:val="center"/>
              <w:rPr>
                <w:color w:val="191919"/>
              </w:rPr>
            </w:pPr>
            <w:r>
              <w:rPr>
                <w:color w:val="191919"/>
              </w:rPr>
              <w:t>2024</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475,000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1,005,765</w:t>
            </w:r>
          </w:p>
        </w:tc>
        <w:tc>
          <w:tcPr>
            <w:tcW w:w="272"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283"/>
              <w:jc w:val="left"/>
              <w:rPr>
                <w:color w:val="191919"/>
              </w:rPr>
            </w:pPr>
            <w:r>
              <w:rPr>
                <w:color w:val="191919"/>
              </w:rPr>
              <w:t> </w:t>
            </w:r>
          </w:p>
        </w:tc>
        <w:tc>
          <w:tcPr>
            <w:tcW w:w="1405" w:type="dxa"/>
            <w:tcBorders/>
            <w:shd w:fill="EDEDED" w:val="clear"/>
            <w:vAlign w:val="center"/>
          </w:tcPr>
          <w:p>
            <w:pPr>
              <w:pStyle w:val="TableContents"/>
              <w:bidi w:val="0"/>
              <w:spacing w:before="0" w:after="283"/>
              <w:jc w:val="right"/>
              <w:rPr>
                <w:color w:val="191919"/>
              </w:rPr>
            </w:pPr>
            <w:r>
              <w:rPr>
                <w:color w:val="191919"/>
              </w:rPr>
              <w:t>453,862</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 </w:t>
            </w:r>
            <w:r>
              <w:rPr>
                <w:color w:val="191919"/>
              </w:rPr>
              <w:t>75,881</w:t>
            </w:r>
          </w:p>
        </w:tc>
        <w:tc>
          <w:tcPr>
            <w:tcW w:w="60" w:type="dxa"/>
            <w:tcBorders/>
            <w:shd w:fill="EDEDED" w:val="clear"/>
            <w:vAlign w:val="center"/>
          </w:tcPr>
          <w:p>
            <w:pPr>
              <w:pStyle w:val="TableContents"/>
              <w:bidi w:val="0"/>
              <w:spacing w:before="0" w:after="283"/>
              <w:jc w:val="left"/>
              <w:rPr/>
            </w:pPr>
            <w:r>
              <w:rPr/>
              <w:t> </w:t>
            </w:r>
          </w:p>
        </w:tc>
        <w:tc>
          <w:tcPr>
            <w:tcW w:w="757" w:type="dxa"/>
            <w:tcBorders/>
            <w:shd w:fill="EDEDED" w:val="clear"/>
            <w:vAlign w:val="center"/>
          </w:tcPr>
          <w:p>
            <w:pPr>
              <w:pStyle w:val="TableContents"/>
              <w:bidi w:val="0"/>
              <w:spacing w:before="0" w:after="0"/>
              <w:jc w:val="center"/>
              <w:rPr>
                <w:rFonts w:ascii="Arial" w:hAnsi="Arial"/>
                <w:color w:val="191919"/>
                <w:sz w:val="17"/>
              </w:rPr>
            </w:pPr>
            <w:r>
              <w:rPr>
                <w:rFonts w:ascii="Arial" w:hAnsi="Arial"/>
                <w:color w:val="191919"/>
                <w:sz w:val="17"/>
              </w:rPr>
              <w:t>2,010,508</w:t>
            </w:r>
          </w:p>
        </w:tc>
      </w:tr>
      <w:tr>
        <w:trPr/>
        <w:tc>
          <w:tcPr>
            <w:tcW w:w="1638"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Jeff A. Underwood</w:t>
            </w:r>
          </w:p>
          <w:p>
            <w:pPr>
              <w:pStyle w:val="TableContents"/>
              <w:bidi w:val="0"/>
              <w:spacing w:before="0" w:after="20"/>
              <w:jc w:val="left"/>
              <w:rPr>
                <w:rFonts w:ascii="Arial" w:hAnsi="Arial"/>
                <w:color w:val="191919"/>
                <w:sz w:val="17"/>
              </w:rPr>
            </w:pPr>
            <w:r>
              <w:rPr>
                <w:rFonts w:ascii="Arial" w:hAnsi="Arial"/>
                <w:color w:val="191919"/>
                <w:sz w:val="17"/>
              </w:rPr>
              <w:t>Executive VP &amp; GM, Contractor Solutions</w:t>
            </w:r>
          </w:p>
        </w:tc>
        <w:tc>
          <w:tcPr>
            <w:tcW w:w="6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8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440,000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770,057</w:t>
            </w:r>
          </w:p>
        </w:tc>
        <w:tc>
          <w:tcPr>
            <w:tcW w:w="272"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(8)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40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319,963</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 </w:t>
            </w:r>
            <w:r>
              <w:rPr>
                <w:rFonts w:ascii="Arial" w:hAnsi="Arial"/>
                <w:color w:val="191919"/>
                <w:sz w:val="17"/>
              </w:rPr>
              <w:t>72,620</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1,602,640</w:t>
            </w:r>
          </w:p>
        </w:tc>
      </w:tr>
      <w:tr>
        <w:trPr/>
        <w:tc>
          <w:tcPr>
            <w:tcW w:w="163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center"/>
              <w:rPr>
                <w:color w:val="191919"/>
              </w:rPr>
            </w:pPr>
            <w:r>
              <w:rPr>
                <w:color w:val="191919"/>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385,000</w:t>
            </w:r>
          </w:p>
        </w:tc>
        <w:tc>
          <w:tcPr>
            <w:tcW w:w="60"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667,015</w:t>
            </w:r>
          </w:p>
        </w:tc>
        <w:tc>
          <w:tcPr>
            <w:tcW w:w="272"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191919"/>
              </w:rPr>
            </w:pPr>
            <w:r>
              <w:rPr>
                <w:color w:val="191919"/>
              </w:rPr>
              <w:t> </w:t>
            </w:r>
          </w:p>
        </w:tc>
        <w:tc>
          <w:tcPr>
            <w:tcW w:w="1405" w:type="dxa"/>
            <w:tcBorders/>
            <w:vAlign w:val="center"/>
          </w:tcPr>
          <w:p>
            <w:pPr>
              <w:pStyle w:val="TableContents"/>
              <w:bidi w:val="0"/>
              <w:spacing w:before="0" w:after="283"/>
              <w:jc w:val="right"/>
              <w:rPr>
                <w:color w:val="191919"/>
              </w:rPr>
            </w:pPr>
            <w:r>
              <w:rPr>
                <w:color w:val="191919"/>
              </w:rPr>
              <w:t>244,792</w:t>
            </w:r>
          </w:p>
        </w:tc>
        <w:tc>
          <w:tcPr>
            <w:tcW w:w="60"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color w:val="191919"/>
              </w:rPr>
            </w:pPr>
            <w:r>
              <w:rPr>
                <w:color w:val="191919"/>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color w:val="191919"/>
              </w:rPr>
            </w:pPr>
            <w:r>
              <w:rPr>
                <w:color w:val="191919"/>
              </w:rPr>
              <w:t> </w:t>
            </w:r>
            <w:r>
              <w:rPr>
                <w:color w:val="191919"/>
              </w:rPr>
              <w:t>76,561</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center"/>
              <w:rPr>
                <w:rFonts w:ascii="Arial" w:hAnsi="Arial"/>
                <w:color w:val="191919"/>
                <w:sz w:val="17"/>
              </w:rPr>
            </w:pPr>
            <w:r>
              <w:rPr>
                <w:rFonts w:ascii="Arial" w:hAnsi="Arial"/>
                <w:color w:val="191919"/>
                <w:sz w:val="17"/>
              </w:rPr>
              <w:t>1,373,368</w:t>
            </w:r>
          </w:p>
        </w:tc>
      </w:tr>
      <w:tr>
        <w:trPr/>
        <w:tc>
          <w:tcPr>
            <w:tcW w:w="1638" w:type="dxa"/>
            <w:vMerge w:val="restart"/>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Luke E. Alverson</w:t>
            </w:r>
          </w:p>
          <w:p>
            <w:pPr>
              <w:pStyle w:val="TableContents"/>
              <w:bidi w:val="0"/>
              <w:spacing w:before="0" w:after="20"/>
              <w:jc w:val="left"/>
              <w:rPr>
                <w:rFonts w:ascii="Arial" w:hAnsi="Arial"/>
                <w:color w:val="191919"/>
                <w:sz w:val="17"/>
              </w:rPr>
            </w:pPr>
            <w:r>
              <w:rPr>
                <w:rFonts w:ascii="Arial" w:hAnsi="Arial"/>
                <w:color w:val="191919"/>
                <w:sz w:val="17"/>
              </w:rPr>
              <w:t>Senior VP, General Counsel and Secretary</w:t>
            </w:r>
          </w:p>
        </w:tc>
        <w:tc>
          <w:tcPr>
            <w:tcW w:w="60" w:type="dxa"/>
            <w:tcBorders/>
            <w:shd w:fill="EDEDED" w:val="clear"/>
            <w:vAlign w:val="center"/>
          </w:tcPr>
          <w:p>
            <w:pPr>
              <w:pStyle w:val="TableContents"/>
              <w:bidi w:val="0"/>
              <w:spacing w:before="0" w:after="283"/>
              <w:jc w:val="left"/>
              <w:rPr/>
            </w:pPr>
            <w:r>
              <w:rPr/>
              <w:t> </w:t>
            </w:r>
          </w:p>
        </w:tc>
        <w:tc>
          <w:tcPr>
            <w:tcW w:w="628"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2026</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80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440,000</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637,161</w:t>
            </w:r>
          </w:p>
        </w:tc>
        <w:tc>
          <w:tcPr>
            <w:tcW w:w="272"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(9)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405"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259,001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 </w:t>
            </w:r>
            <w:r>
              <w:rPr>
                <w:rFonts w:ascii="Arial" w:hAnsi="Arial"/>
                <w:color w:val="191919"/>
                <w:sz w:val="17"/>
              </w:rPr>
              <w:t>79,669</w:t>
            </w:r>
          </w:p>
        </w:tc>
        <w:tc>
          <w:tcPr>
            <w:tcW w:w="60" w:type="dxa"/>
            <w:tcBorders/>
            <w:shd w:fill="EDEDED" w:val="clear"/>
            <w:vAlign w:val="center"/>
          </w:tcPr>
          <w:p>
            <w:pPr>
              <w:pStyle w:val="TableContents"/>
              <w:bidi w:val="0"/>
              <w:spacing w:before="0" w:after="283"/>
              <w:jc w:val="left"/>
              <w:rPr/>
            </w:pPr>
            <w:r>
              <w:rPr/>
              <w:t> </w:t>
            </w:r>
          </w:p>
        </w:tc>
        <w:tc>
          <w:tcPr>
            <w:tcW w:w="757" w:type="dxa"/>
            <w:tcBorders/>
            <w:shd w:fill="EDEDED" w:val="clear"/>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1,415,831</w:t>
            </w:r>
          </w:p>
        </w:tc>
      </w:tr>
      <w:tr>
        <w:trPr/>
        <w:tc>
          <w:tcPr>
            <w:tcW w:w="1638"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628" w:type="dxa"/>
            <w:tcBorders/>
            <w:shd w:fill="EDEDED" w:val="clear"/>
            <w:vAlign w:val="center"/>
          </w:tcPr>
          <w:p>
            <w:pPr>
              <w:pStyle w:val="TableContents"/>
              <w:bidi w:val="0"/>
              <w:spacing w:before="0" w:after="283"/>
              <w:jc w:val="center"/>
              <w:rPr>
                <w:color w:val="191919"/>
              </w:rPr>
            </w:pPr>
            <w:r>
              <w:rPr>
                <w:color w:val="191919"/>
              </w:rPr>
              <w:t>2025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423,000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659,147</w:t>
            </w:r>
          </w:p>
        </w:tc>
        <w:tc>
          <w:tcPr>
            <w:tcW w:w="272"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283"/>
              <w:jc w:val="left"/>
              <w:rPr>
                <w:color w:val="191919"/>
              </w:rPr>
            </w:pPr>
            <w:r>
              <w:rPr>
                <w:color w:val="191919"/>
              </w:rPr>
              <w:t> </w:t>
            </w:r>
          </w:p>
        </w:tc>
        <w:tc>
          <w:tcPr>
            <w:tcW w:w="1405" w:type="dxa"/>
            <w:tcBorders/>
            <w:shd w:fill="EDEDED" w:val="clear"/>
            <w:vAlign w:val="center"/>
          </w:tcPr>
          <w:p>
            <w:pPr>
              <w:pStyle w:val="TableContents"/>
              <w:bidi w:val="0"/>
              <w:spacing w:before="0" w:after="283"/>
              <w:jc w:val="right"/>
              <w:rPr>
                <w:color w:val="191919"/>
              </w:rPr>
            </w:pPr>
            <w:r>
              <w:rPr>
                <w:color w:val="191919"/>
              </w:rPr>
              <w:t>244,548</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 </w:t>
            </w:r>
            <w:r>
              <w:rPr>
                <w:color w:val="191919"/>
              </w:rPr>
              <w:t>76,820</w:t>
            </w:r>
          </w:p>
        </w:tc>
        <w:tc>
          <w:tcPr>
            <w:tcW w:w="60" w:type="dxa"/>
            <w:tcBorders/>
            <w:shd w:fill="EDEDED" w:val="clear"/>
            <w:vAlign w:val="center"/>
          </w:tcPr>
          <w:p>
            <w:pPr>
              <w:pStyle w:val="TableContents"/>
              <w:bidi w:val="0"/>
              <w:spacing w:before="0" w:after="283"/>
              <w:jc w:val="left"/>
              <w:rPr/>
            </w:pPr>
            <w:r>
              <w:rPr/>
              <w:t> </w:t>
            </w:r>
          </w:p>
        </w:tc>
        <w:tc>
          <w:tcPr>
            <w:tcW w:w="757" w:type="dxa"/>
            <w:tcBorders/>
            <w:shd w:fill="EDEDED" w:val="clear"/>
            <w:vAlign w:val="center"/>
          </w:tcPr>
          <w:p>
            <w:pPr>
              <w:pStyle w:val="TableContents"/>
              <w:bidi w:val="0"/>
              <w:spacing w:before="0" w:after="0"/>
              <w:jc w:val="center"/>
              <w:rPr>
                <w:rFonts w:ascii="Arial" w:hAnsi="Arial"/>
                <w:color w:val="191919"/>
                <w:sz w:val="17"/>
              </w:rPr>
            </w:pPr>
            <w:r>
              <w:rPr>
                <w:rFonts w:ascii="Arial" w:hAnsi="Arial"/>
                <w:color w:val="191919"/>
                <w:sz w:val="17"/>
              </w:rPr>
              <w:t>1,403,515</w:t>
            </w:r>
          </w:p>
        </w:tc>
      </w:tr>
      <w:tr>
        <w:trPr/>
        <w:tc>
          <w:tcPr>
            <w:tcW w:w="1638"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628" w:type="dxa"/>
            <w:tcBorders/>
            <w:shd w:fill="EDEDED" w:val="clear"/>
            <w:vAlign w:val="center"/>
          </w:tcPr>
          <w:p>
            <w:pPr>
              <w:pStyle w:val="TableContents"/>
              <w:bidi w:val="0"/>
              <w:spacing w:before="0" w:after="283"/>
              <w:jc w:val="center"/>
              <w:rPr>
                <w:color w:val="191919"/>
              </w:rPr>
            </w:pPr>
            <w:r>
              <w:rPr>
                <w:color w:val="191919"/>
              </w:rPr>
              <w:t>2024</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412,000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573,257</w:t>
            </w:r>
          </w:p>
        </w:tc>
        <w:tc>
          <w:tcPr>
            <w:tcW w:w="272"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283"/>
              <w:jc w:val="left"/>
              <w:rPr>
                <w:color w:val="191919"/>
              </w:rPr>
            </w:pPr>
            <w:r>
              <w:rPr>
                <w:color w:val="191919"/>
              </w:rPr>
              <w:t> </w:t>
            </w:r>
          </w:p>
        </w:tc>
        <w:tc>
          <w:tcPr>
            <w:tcW w:w="1405" w:type="dxa"/>
            <w:tcBorders/>
            <w:shd w:fill="EDEDED" w:val="clear"/>
            <w:vAlign w:val="center"/>
          </w:tcPr>
          <w:p>
            <w:pPr>
              <w:pStyle w:val="TableContents"/>
              <w:bidi w:val="0"/>
              <w:spacing w:before="0" w:after="283"/>
              <w:jc w:val="right"/>
              <w:rPr>
                <w:color w:val="191919"/>
              </w:rPr>
            </w:pPr>
            <w:r>
              <w:rPr>
                <w:color w:val="191919"/>
              </w:rPr>
              <w:t>280,191</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pPr>
            <w:r>
              <w:rPr/>
              <w:t> </w:t>
            </w:r>
          </w:p>
        </w:tc>
        <w:tc>
          <w:tcPr>
            <w:tcW w:w="1490" w:type="dxa"/>
            <w:tcBorders/>
            <w:shd w:fill="EDEDED" w:val="clear"/>
            <w:vAlign w:val="center"/>
          </w:tcPr>
          <w:p>
            <w:pPr>
              <w:pStyle w:val="TableContents"/>
              <w:bidi w:val="0"/>
              <w:spacing w:before="0" w:after="283"/>
              <w:jc w:val="center"/>
              <w:rPr>
                <w:color w:val="191919"/>
              </w:rPr>
            </w:pPr>
            <w:r>
              <w:rPr>
                <w:color w:val="191919"/>
              </w:rPr>
              <w:t> </w:t>
            </w:r>
            <w:r>
              <w:rPr>
                <w:color w:val="191919"/>
              </w:rPr>
              <w:t>77,010</w:t>
            </w:r>
          </w:p>
        </w:tc>
        <w:tc>
          <w:tcPr>
            <w:tcW w:w="60" w:type="dxa"/>
            <w:tcBorders/>
            <w:shd w:fill="EDEDED" w:val="clear"/>
            <w:vAlign w:val="center"/>
          </w:tcPr>
          <w:p>
            <w:pPr>
              <w:pStyle w:val="TableContents"/>
              <w:bidi w:val="0"/>
              <w:spacing w:before="0" w:after="283"/>
              <w:jc w:val="left"/>
              <w:rPr/>
            </w:pPr>
            <w:r>
              <w:rPr/>
              <w:t> </w:t>
            </w:r>
          </w:p>
        </w:tc>
        <w:tc>
          <w:tcPr>
            <w:tcW w:w="757" w:type="dxa"/>
            <w:tcBorders/>
            <w:shd w:fill="EDEDED" w:val="clear"/>
            <w:vAlign w:val="center"/>
          </w:tcPr>
          <w:p>
            <w:pPr>
              <w:pStyle w:val="TableContents"/>
              <w:bidi w:val="0"/>
              <w:spacing w:before="0" w:after="0"/>
              <w:jc w:val="center"/>
              <w:rPr>
                <w:rFonts w:ascii="Arial" w:hAnsi="Arial"/>
                <w:color w:val="191919"/>
                <w:sz w:val="17"/>
              </w:rPr>
            </w:pPr>
            <w:r>
              <w:rPr>
                <w:rFonts w:ascii="Arial" w:hAnsi="Arial"/>
                <w:color w:val="191919"/>
                <w:sz w:val="17"/>
              </w:rPr>
              <w:t>1,342,458</w:t>
            </w:r>
          </w:p>
        </w:tc>
      </w:tr>
      <w:tr>
        <w:trPr/>
        <w:tc>
          <w:tcPr>
            <w:tcW w:w="1638" w:type="dxa"/>
            <w:vMerge w:val="restart"/>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Danielle R. Garde</w:t>
            </w:r>
          </w:p>
          <w:p>
            <w:pPr>
              <w:pStyle w:val="TableContents"/>
              <w:bidi w:val="0"/>
              <w:spacing w:before="0" w:after="20"/>
              <w:jc w:val="left"/>
              <w:rPr>
                <w:rFonts w:ascii="Arial" w:hAnsi="Arial"/>
                <w:color w:val="191919"/>
                <w:sz w:val="17"/>
              </w:rPr>
            </w:pPr>
            <w:r>
              <w:rPr>
                <w:rFonts w:ascii="Arial" w:hAnsi="Arial"/>
                <w:color w:val="191919"/>
                <w:sz w:val="17"/>
              </w:rPr>
              <w:t>Senior VP, Chief People Officer</w:t>
            </w:r>
          </w:p>
        </w:tc>
        <w:tc>
          <w:tcPr>
            <w:tcW w:w="6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8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440,000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637,161</w:t>
            </w:r>
          </w:p>
        </w:tc>
        <w:tc>
          <w:tcPr>
            <w:tcW w:w="272"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(10)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40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7"/>
              </w:rPr>
            </w:pPr>
            <w:r>
              <w:rPr>
                <w:rFonts w:ascii="Arial" w:hAnsi="Arial"/>
                <w:color w:val="191919"/>
                <w:sz w:val="17"/>
              </w:rPr>
              <w:t>259,001</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 </w:t>
            </w:r>
            <w:r>
              <w:rPr>
                <w:rFonts w:ascii="Arial" w:hAnsi="Arial"/>
                <w:color w:val="191919"/>
                <w:sz w:val="17"/>
              </w:rPr>
              <w:t>80,532</w:t>
            </w:r>
          </w:p>
        </w:tc>
        <w:tc>
          <w:tcPr>
            <w:tcW w:w="60"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7"/>
              </w:rPr>
            </w:pPr>
            <w:r>
              <w:rPr>
                <w:rFonts w:ascii="Arial" w:hAnsi="Arial"/>
                <w:color w:val="191919"/>
                <w:sz w:val="17"/>
              </w:rPr>
              <w:t>1,416,694</w:t>
            </w:r>
          </w:p>
        </w:tc>
      </w:tr>
      <w:tr>
        <w:trPr/>
        <w:tc>
          <w:tcPr>
            <w:tcW w:w="1638" w:type="dxa"/>
            <w:vMerge w:val="continue"/>
            <w:tcBorders>
              <w:bottom w:val="single" w:sz="6" w:space="0" w:color="7DB655"/>
            </w:tcBorders>
            <w:tcMar>
              <w:bottom w:w="60" w:type="dxa"/>
            </w:tcMar>
            <w:vAlign w:val="center"/>
          </w:tcPr>
          <w:p>
            <w:pPr>
              <w:pStyle w:val="Normal"/>
              <w:bidi w:val="0"/>
              <w:jc w:val="left"/>
              <w:rPr/>
            </w:pPr>
            <w:r>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28"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2024</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800" w:type="dxa"/>
            <w:tcBorders>
              <w:bottom w:val="single" w:sz="6" w:space="0" w:color="7DB655"/>
            </w:tcBorders>
            <w:tcMar>
              <w:bottom w:w="60" w:type="dxa"/>
            </w:tcMar>
            <w:vAlign w:val="center"/>
          </w:tcPr>
          <w:p>
            <w:pPr>
              <w:pStyle w:val="TableContents"/>
              <w:bidi w:val="0"/>
              <w:spacing w:before="0" w:after="283"/>
              <w:jc w:val="right"/>
              <w:rPr>
                <w:color w:val="191919"/>
              </w:rPr>
            </w:pPr>
            <w:r>
              <w:rPr>
                <w:color w:val="191919"/>
              </w:rPr>
              <w:t>390,000</w:t>
            </w:r>
          </w:p>
        </w:tc>
        <w:tc>
          <w:tcPr>
            <w:tcW w:w="6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980" w:type="dxa"/>
            <w:tcBorders>
              <w:bottom w:val="single" w:sz="6" w:space="0" w:color="7DB655"/>
            </w:tcBorders>
            <w:tcMar>
              <w:bottom w:w="60" w:type="dxa"/>
            </w:tcMar>
            <w:vAlign w:val="center"/>
          </w:tcPr>
          <w:p>
            <w:pPr>
              <w:pStyle w:val="TableContents"/>
              <w:bidi w:val="0"/>
              <w:spacing w:before="0" w:after="283"/>
              <w:jc w:val="right"/>
              <w:rPr>
                <w:color w:val="191919"/>
              </w:rPr>
            </w:pPr>
            <w:r>
              <w:rPr>
                <w:color w:val="191919"/>
              </w:rPr>
              <w:t>542,860</w:t>
            </w:r>
          </w:p>
        </w:tc>
        <w:tc>
          <w:tcPr>
            <w:tcW w:w="272"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5"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1405" w:type="dxa"/>
            <w:tcBorders>
              <w:bottom w:val="single" w:sz="6" w:space="0" w:color="7DB655"/>
            </w:tcBorders>
            <w:tcMar>
              <w:bottom w:w="60" w:type="dxa"/>
            </w:tcMar>
            <w:vAlign w:val="center"/>
          </w:tcPr>
          <w:p>
            <w:pPr>
              <w:pStyle w:val="TableContents"/>
              <w:bidi w:val="0"/>
              <w:spacing w:before="0" w:after="283"/>
              <w:jc w:val="right"/>
              <w:rPr>
                <w:color w:val="191919"/>
              </w:rPr>
            </w:pPr>
            <w:r>
              <w:rPr>
                <w:color w:val="191919"/>
              </w:rPr>
              <w:t>265,230</w:t>
            </w:r>
          </w:p>
        </w:tc>
        <w:tc>
          <w:tcPr>
            <w:tcW w:w="60" w:type="dxa"/>
            <w:tcBorders>
              <w:bottom w:val="single" w:sz="6" w:space="0" w:color="7DB655"/>
            </w:tcBorders>
            <w:tcMar>
              <w:bottom w:w="60"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90"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90"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 </w:t>
            </w:r>
            <w:r>
              <w:rPr>
                <w:color w:val="191919"/>
              </w:rPr>
              <w:t>75,859</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757" w:type="dxa"/>
            <w:tcBorders>
              <w:bottom w:val="single" w:sz="6" w:space="0" w:color="7DB655"/>
            </w:tcBorders>
            <w:tcMar>
              <w:bottom w:w="60" w:type="dxa"/>
            </w:tcMar>
            <w:vAlign w:val="center"/>
          </w:tcPr>
          <w:p>
            <w:pPr>
              <w:pStyle w:val="TableContents"/>
              <w:bidi w:val="0"/>
              <w:spacing w:before="0" w:after="0"/>
              <w:jc w:val="center"/>
              <w:rPr>
                <w:rFonts w:ascii="Arial" w:hAnsi="Arial"/>
                <w:color w:val="191919"/>
                <w:sz w:val="17"/>
              </w:rPr>
            </w:pPr>
            <w:r>
              <w:rPr>
                <w:rFonts w:ascii="Arial" w:hAnsi="Arial"/>
                <w:color w:val="191919"/>
                <w:sz w:val="17"/>
              </w:rPr>
              <w:t>1,273,949</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305"/>
        <w:gridCol w:w="3875"/>
      </w:tblGrid>
      <w:tr>
        <w:trPr/>
        <w:tc>
          <w:tcPr>
            <w:tcW w:w="305" w:type="dxa"/>
            <w:tcBorders/>
            <w:vAlign w:val="center"/>
          </w:tcPr>
          <w:p>
            <w:pPr>
              <w:pStyle w:val="TableContents"/>
              <w:bidi w:val="0"/>
              <w:spacing w:before="0" w:after="283"/>
              <w:jc w:val="left"/>
              <w:rPr>
                <w:i/>
                <w:color w:val="191919"/>
              </w:rPr>
            </w:pPr>
            <w:r>
              <w:rPr>
                <w:i/>
                <w:color w:val="191919"/>
              </w:rPr>
              <w:t>(1)</w:t>
            </w:r>
          </w:p>
        </w:tc>
        <w:tc>
          <w:tcPr>
            <w:tcW w:w="387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Company’s fiscal year begins April 1 and ends March 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i/>
                <w:color w:val="191919"/>
              </w:rPr>
            </w:pPr>
            <w:r>
              <w:rPr>
                <w:i/>
                <w:color w:val="191919"/>
              </w:rPr>
              <w:t>(2)</w:t>
            </w:r>
          </w:p>
        </w:tc>
        <w:tc>
          <w:tcPr>
            <w:tcW w:w="9967"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Represents the grant date fair value of long-term equity incentive awards under the Company’s LTIP computed in accordance with FASB ASC 718 “Compensation—Stock Compensation,” including the impact of forfeitures. The incentive awards are granted in the form of restricted stock, which generally vest ratably over a three-year period, and performance shares. The performance criteria for the performance share awards is based on the Company’s TSR over a three-year period compared to the TSR of the Company’s applicable benchmark group for the same period, as described in further detail under “Executive Compensation Program—Long-Term Equity Incentives—Performance Share Awards” above. The reported value of the performance unit awards is computed based on the probable outcome of the performance conditions based on a Monte Carlo simulation and the grant date estimate of compensation cost to be recognized over the performance period, which was 144.9% of target, or $428.80 per share. Payout for the performance share awards can range from 0% to a maximum of 200%. Assumptions used in the valuations are discussed in Note 5 to the Company’s audited consolidated financial statements for the year ended March 31, 2026, in the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i/>
                <w:color w:val="191919"/>
              </w:rPr>
            </w:pPr>
            <w:r>
              <w:rPr>
                <w:i/>
                <w:color w:val="191919"/>
              </w:rPr>
              <w:t>(3)</w:t>
            </w:r>
          </w:p>
        </w:tc>
        <w:tc>
          <w:tcPr>
            <w:tcW w:w="990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amounts in this column include an annual cash incentive bonus for fiscal 2026 under the Company’s AIP that was earned in fiscal 2026 but paid in fiscal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i/>
                <w:color w:val="191919"/>
              </w:rPr>
            </w:pPr>
            <w:r>
              <w:rPr>
                <w:i/>
                <w:color w:val="191919"/>
              </w:rPr>
              <w:t>(4)</w:t>
            </w:r>
          </w:p>
        </w:tc>
        <w:tc>
          <w:tcPr>
            <w:tcW w:w="991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Reflects the annualized change in pension value under the restoration plan. There are no above-market or preferential earnings on compensation deferred under the restoration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i/>
                <w:color w:val="191919"/>
              </w:rPr>
            </w:pPr>
            <w:r>
              <w:rPr>
                <w:i/>
                <w:color w:val="191919"/>
              </w:rPr>
              <w:t>(5)</w:t>
            </w:r>
          </w:p>
        </w:tc>
        <w:tc>
          <w:tcPr>
            <w:tcW w:w="990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components of this column for fiscal 2026 are set forth in the table below, calculated at the aggregate incremental cost to the Company (all in U.S. dollars): </w:t>
            </w:r>
          </w:p>
        </w:tc>
      </w:tr>
    </w:tbl>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1520"/>
        <w:gridCol w:w="60"/>
        <w:gridCol w:w="1280"/>
        <w:gridCol w:w="60"/>
        <w:gridCol w:w="1130"/>
        <w:gridCol w:w="60"/>
        <w:gridCol w:w="815"/>
        <w:gridCol w:w="60"/>
        <w:gridCol w:w="815"/>
        <w:gridCol w:w="60"/>
        <w:gridCol w:w="81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56" w:space="0" w:color="7DB655"/>
            </w:tcBorders>
            <w:tcMar>
              <w:bottom w:w="6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80" w:type="dxa"/>
            <w:tcBorders>
              <w:bottom w:val="single" w:sz="56" w:space="0" w:color="7DB655"/>
            </w:tcBorders>
            <w:tcMar>
              <w:bottom w:w="6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Retirement Plan</w:t>
              <w:br/>
              <w:t>Contributions</w:t>
            </w:r>
          </w:p>
          <w:p>
            <w:pPr>
              <w:pStyle w:val="TableContents"/>
              <w:bidi w:val="0"/>
              <w:spacing w:before="0" w:after="20"/>
              <w:jc w:val="center"/>
              <w:rPr>
                <w:rFonts w:ascii="Arial" w:hAnsi="Arial"/>
                <w:b/>
                <w:color w:val="191919"/>
                <w:sz w:val="16"/>
              </w:rPr>
            </w:pPr>
            <w:r>
              <w:rPr>
                <w:rFonts w:ascii="Arial" w:hAnsi="Arial"/>
                <w:b/>
                <w:color w:val="191919"/>
                <w:sz w:val="16"/>
              </w:rPr>
              <w:t>($)(A)</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30" w:type="dxa"/>
            <w:tcBorders>
              <w:bottom w:val="single" w:sz="56" w:space="0" w:color="7DB655"/>
            </w:tcBorders>
            <w:tcMar>
              <w:bottom w:w="6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ESOP</w:t>
              <w:br/>
              <w:t>Contributions</w:t>
            </w:r>
          </w:p>
          <w:p>
            <w:pPr>
              <w:pStyle w:val="TableContents"/>
              <w:bidi w:val="0"/>
              <w:spacing w:before="0" w:after="20"/>
              <w:jc w:val="center"/>
              <w:rPr>
                <w:rFonts w:ascii="Arial" w:hAnsi="Arial"/>
                <w:b/>
                <w:color w:val="191919"/>
                <w:sz w:val="16"/>
              </w:rPr>
            </w:pPr>
            <w:r>
              <w:rPr>
                <w:rFonts w:ascii="Arial" w:hAnsi="Arial"/>
                <w:b/>
                <w:color w:val="191919"/>
                <w:sz w:val="16"/>
              </w:rPr>
              <w:t>($)(B)</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815" w:type="dxa"/>
            <w:tcBorders>
              <w:bottom w:val="single" w:sz="56" w:space="0" w:color="7DB655"/>
            </w:tcBorders>
            <w:tcMar>
              <w:bottom w:w="6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Insurance</w:t>
              <w:br/>
              <w:t>Premiums</w:t>
            </w:r>
          </w:p>
          <w:p>
            <w:pPr>
              <w:pStyle w:val="TableContents"/>
              <w:bidi w:val="0"/>
              <w:spacing w:before="0" w:after="20"/>
              <w:jc w:val="center"/>
              <w:rPr>
                <w:rFonts w:ascii="Arial" w:hAnsi="Arial"/>
                <w:b/>
                <w:color w:val="191919"/>
                <w:sz w:val="16"/>
              </w:rPr>
            </w:pPr>
            <w:r>
              <w:rPr>
                <w:rFonts w:ascii="Arial" w:hAnsi="Arial"/>
                <w:b/>
                <w:color w:val="191919"/>
                <w:sz w:val="16"/>
              </w:rPr>
              <w:t>($)(C)</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815" w:type="dxa"/>
            <w:tcBorders>
              <w:bottom w:val="single" w:sz="56" w:space="0" w:color="7DB655"/>
            </w:tcBorders>
            <w:tcMar>
              <w:bottom w:w="6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Dividends</w:t>
              <w:br/>
              <w:t>Paid</w:t>
            </w:r>
          </w:p>
          <w:p>
            <w:pPr>
              <w:pStyle w:val="TableContents"/>
              <w:bidi w:val="0"/>
              <w:spacing w:before="0" w:after="20"/>
              <w:jc w:val="center"/>
              <w:rPr>
                <w:rFonts w:ascii="Arial" w:hAnsi="Arial"/>
                <w:b/>
                <w:color w:val="191919"/>
                <w:sz w:val="16"/>
              </w:rPr>
            </w:pPr>
            <w:r>
              <w:rPr>
                <w:rFonts w:ascii="Arial" w:hAnsi="Arial"/>
                <w:b/>
                <w:color w:val="191919"/>
                <w:sz w:val="16"/>
              </w:rPr>
              <w:t>($)(D)</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815" w:type="dxa"/>
            <w:tcBorders>
              <w:bottom w:val="single" w:sz="56" w:space="0" w:color="7DB655"/>
            </w:tcBorders>
            <w:tcMar>
              <w:bottom w:w="6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Total</w:t>
            </w:r>
          </w:p>
          <w:p>
            <w:pPr>
              <w:pStyle w:val="TableContents"/>
              <w:bidi w:val="0"/>
              <w:spacing w:before="0" w:after="20"/>
              <w:jc w:val="center"/>
              <w:rPr>
                <w:rFonts w:ascii="Arial" w:hAnsi="Arial"/>
                <w:b/>
                <w:color w:val="191919"/>
                <w:sz w:val="16"/>
              </w:rPr>
            </w:pPr>
            <w:r>
              <w:rPr>
                <w:rFonts w:ascii="Arial" w:hAnsi="Arial"/>
                <w:b/>
                <w:color w:val="191919"/>
                <w:sz w:val="16"/>
              </w:rPr>
              <w:t>($)</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6"/>
              </w:rPr>
            </w:pPr>
            <w:r>
              <w:rPr>
                <w:rFonts w:ascii="Arial" w:hAnsi="Arial"/>
                <w:b/>
                <w:color w:val="191919"/>
                <w:sz w:val="16"/>
              </w:rPr>
              <w:t>Joseph B. Armes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color w:val="191919"/>
              </w:rPr>
            </w:pPr>
            <w:r>
              <w:rPr>
                <w:color w:val="191919"/>
              </w:rPr>
              <w:t>36,242</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21,000</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color w:val="191919"/>
              </w:rPr>
            </w:pPr>
            <w:r>
              <w:rPr>
                <w:color w:val="191919"/>
              </w:rPr>
              <w:t>15,689</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color w:val="191919"/>
              </w:rPr>
            </w:pPr>
            <w:r>
              <w:rPr>
                <w:color w:val="191919"/>
              </w:rPr>
              <w:t>46,287</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color w:val="191919"/>
              </w:rPr>
            </w:pPr>
            <w:r>
              <w:rPr>
                <w:color w:val="191919"/>
              </w:rPr>
              <w:t>119,218</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190" w:type="dxa"/>
            <w:gridSpan w:val="2"/>
            <w:tcBorders/>
            <w:shd w:fill="EDEDED" w:val="clear"/>
            <w:vAlign w:val="center"/>
          </w:tcPr>
          <w:p>
            <w:pPr>
              <w:pStyle w:val="TableContents"/>
              <w:bidi w:val="0"/>
              <w:spacing w:before="0" w:after="283"/>
              <w:jc w:val="left"/>
              <w:rPr>
                <w:sz w:val="4"/>
                <w:szCs w:val="4"/>
              </w:rPr>
            </w:pPr>
            <w:r>
              <w:rPr>
                <w:sz w:val="4"/>
                <w:szCs w:val="4"/>
              </w:rPr>
            </w:r>
          </w:p>
        </w:tc>
        <w:tc>
          <w:tcPr>
            <w:tcW w:w="875" w:type="dxa"/>
            <w:gridSpan w:val="2"/>
            <w:tcBorders/>
            <w:shd w:fill="EDEDED" w:val="clear"/>
            <w:vAlign w:val="center"/>
          </w:tcPr>
          <w:p>
            <w:pPr>
              <w:pStyle w:val="TableContents"/>
              <w:bidi w:val="0"/>
              <w:spacing w:before="0" w:after="283"/>
              <w:jc w:val="left"/>
              <w:rPr>
                <w:sz w:val="4"/>
                <w:szCs w:val="4"/>
              </w:rPr>
            </w:pPr>
            <w:r>
              <w:rPr>
                <w:sz w:val="4"/>
                <w:szCs w:val="4"/>
              </w:rPr>
            </w:r>
          </w:p>
        </w:tc>
        <w:tc>
          <w:tcPr>
            <w:tcW w:w="875" w:type="dxa"/>
            <w:gridSpan w:val="2"/>
            <w:tcBorders/>
            <w:shd w:fill="EDEDED" w:val="clear"/>
            <w:vAlign w:val="center"/>
          </w:tcPr>
          <w:p>
            <w:pPr>
              <w:pStyle w:val="TableContents"/>
              <w:bidi w:val="0"/>
              <w:spacing w:before="0" w:after="283"/>
              <w:jc w:val="left"/>
              <w:rPr>
                <w:sz w:val="4"/>
                <w:szCs w:val="4"/>
              </w:rPr>
            </w:pPr>
            <w:r>
              <w:rPr>
                <w:sz w:val="4"/>
                <w:szCs w:val="4"/>
              </w:rPr>
            </w:r>
          </w:p>
        </w:tc>
        <w:tc>
          <w:tcPr>
            <w:tcW w:w="8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6"/>
              </w:rPr>
            </w:pPr>
            <w:r>
              <w:rPr>
                <w:rFonts w:ascii="Arial" w:hAnsi="Arial"/>
                <w:b/>
                <w:color w:val="191919"/>
                <w:sz w:val="16"/>
              </w:rPr>
              <w:t>James E. Perry</w:t>
            </w:r>
          </w:p>
        </w:tc>
        <w:tc>
          <w:tcPr>
            <w:tcW w:w="60" w:type="dxa"/>
            <w:tcBorders/>
            <w:shd w:fill="EDEDED" w:val="clear"/>
            <w:vAlign w:val="center"/>
          </w:tcPr>
          <w:p>
            <w:pPr>
              <w:pStyle w:val="TableContents"/>
              <w:bidi w:val="0"/>
              <w:spacing w:before="0" w:after="283"/>
              <w:jc w:val="left"/>
              <w:rPr/>
            </w:pPr>
            <w:r>
              <w:rPr/>
              <w:t> </w:t>
            </w:r>
          </w:p>
        </w:tc>
        <w:tc>
          <w:tcPr>
            <w:tcW w:w="1280" w:type="dxa"/>
            <w:tcBorders/>
            <w:shd w:fill="EDEDED" w:val="clear"/>
            <w:vAlign w:val="center"/>
          </w:tcPr>
          <w:p>
            <w:pPr>
              <w:pStyle w:val="TableContents"/>
              <w:bidi w:val="0"/>
              <w:spacing w:before="0" w:after="283"/>
              <w:jc w:val="center"/>
              <w:rPr>
                <w:color w:val="191919"/>
              </w:rPr>
            </w:pPr>
            <w:r>
              <w:rPr>
                <w:color w:val="191919"/>
              </w:rPr>
              <w:t>31,578</w:t>
            </w:r>
          </w:p>
        </w:tc>
        <w:tc>
          <w:tcPr>
            <w:tcW w:w="6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center"/>
              <w:rPr>
                <w:color w:val="191919"/>
              </w:rPr>
            </w:pPr>
            <w:r>
              <w:rPr>
                <w:color w:val="191919"/>
              </w:rPr>
              <w:t>21,000</w:t>
            </w:r>
          </w:p>
        </w:tc>
        <w:tc>
          <w:tcPr>
            <w:tcW w:w="60" w:type="dxa"/>
            <w:tcBorders/>
            <w:shd w:fill="EDEDED" w:val="clear"/>
            <w:vAlign w:val="center"/>
          </w:tcPr>
          <w:p>
            <w:pPr>
              <w:pStyle w:val="TableContents"/>
              <w:bidi w:val="0"/>
              <w:spacing w:before="0" w:after="283"/>
              <w:jc w:val="left"/>
              <w:rPr/>
            </w:pPr>
            <w:r>
              <w:rPr/>
              <w:t> </w:t>
            </w:r>
          </w:p>
        </w:tc>
        <w:tc>
          <w:tcPr>
            <w:tcW w:w="815" w:type="dxa"/>
            <w:tcBorders/>
            <w:shd w:fill="EDEDED" w:val="clear"/>
            <w:vAlign w:val="center"/>
          </w:tcPr>
          <w:p>
            <w:pPr>
              <w:pStyle w:val="TableContents"/>
              <w:bidi w:val="0"/>
              <w:spacing w:before="0" w:after="283"/>
              <w:jc w:val="center"/>
              <w:rPr>
                <w:color w:val="191919"/>
              </w:rPr>
            </w:pPr>
            <w:r>
              <w:rPr>
                <w:color w:val="191919"/>
              </w:rPr>
              <w:t>20,483</w:t>
            </w:r>
          </w:p>
        </w:tc>
        <w:tc>
          <w:tcPr>
            <w:tcW w:w="60" w:type="dxa"/>
            <w:tcBorders/>
            <w:shd w:fill="EDEDED" w:val="clear"/>
            <w:vAlign w:val="center"/>
          </w:tcPr>
          <w:p>
            <w:pPr>
              <w:pStyle w:val="TableContents"/>
              <w:bidi w:val="0"/>
              <w:spacing w:before="0" w:after="283"/>
              <w:jc w:val="left"/>
              <w:rPr/>
            </w:pPr>
            <w:r>
              <w:rPr/>
              <w:t> </w:t>
            </w:r>
          </w:p>
        </w:tc>
        <w:tc>
          <w:tcPr>
            <w:tcW w:w="815" w:type="dxa"/>
            <w:tcBorders/>
            <w:shd w:fill="EDEDED" w:val="clear"/>
            <w:vAlign w:val="center"/>
          </w:tcPr>
          <w:p>
            <w:pPr>
              <w:pStyle w:val="TableContents"/>
              <w:bidi w:val="0"/>
              <w:spacing w:before="0" w:after="283"/>
              <w:jc w:val="center"/>
              <w:rPr>
                <w:color w:val="191919"/>
              </w:rPr>
            </w:pPr>
            <w:r>
              <w:rPr>
                <w:color w:val="191919"/>
              </w:rPr>
              <w:t> </w:t>
            </w:r>
            <w:r>
              <w:rPr>
                <w:color w:val="191919"/>
              </w:rPr>
              <w:t>4,085</w:t>
            </w:r>
          </w:p>
        </w:tc>
        <w:tc>
          <w:tcPr>
            <w:tcW w:w="60" w:type="dxa"/>
            <w:tcBorders/>
            <w:shd w:fill="EDEDED" w:val="clear"/>
            <w:vAlign w:val="center"/>
          </w:tcPr>
          <w:p>
            <w:pPr>
              <w:pStyle w:val="TableContents"/>
              <w:bidi w:val="0"/>
              <w:spacing w:before="0" w:after="283"/>
              <w:jc w:val="left"/>
              <w:rPr/>
            </w:pPr>
            <w:r>
              <w:rPr/>
              <w:t> </w:t>
            </w:r>
          </w:p>
        </w:tc>
        <w:tc>
          <w:tcPr>
            <w:tcW w:w="815" w:type="dxa"/>
            <w:tcBorders/>
            <w:shd w:fill="EDEDED" w:val="clear"/>
            <w:vAlign w:val="center"/>
          </w:tcPr>
          <w:p>
            <w:pPr>
              <w:pStyle w:val="TableContents"/>
              <w:bidi w:val="0"/>
              <w:spacing w:before="0" w:after="283"/>
              <w:jc w:val="center"/>
              <w:rPr>
                <w:color w:val="191919"/>
              </w:rPr>
            </w:pPr>
            <w:r>
              <w:rPr>
                <w:color w:val="191919"/>
              </w:rPr>
              <w:t> </w:t>
            </w:r>
            <w:r>
              <w:rPr>
                <w:color w:val="191919"/>
              </w:rPr>
              <w:t>77,146</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6"/>
              </w:rPr>
            </w:pPr>
            <w:r>
              <w:rPr>
                <w:rFonts w:ascii="Arial" w:hAnsi="Arial"/>
                <w:b/>
                <w:color w:val="191919"/>
                <w:sz w:val="16"/>
              </w:rPr>
              <w:t>Jeff A. Underwood</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color w:val="191919"/>
              </w:rPr>
            </w:pPr>
            <w:r>
              <w:rPr>
                <w:color w:val="191919"/>
              </w:rPr>
              <w:t>25,723</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21,000</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color w:val="191919"/>
              </w:rPr>
            </w:pPr>
            <w:r>
              <w:rPr>
                <w:color w:val="191919"/>
              </w:rPr>
              <w:t>23,633</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color w:val="191919"/>
              </w:rPr>
            </w:pPr>
            <w:r>
              <w:rPr>
                <w:color w:val="191919"/>
              </w:rPr>
              <w:t> </w:t>
            </w:r>
            <w:r>
              <w:rPr>
                <w:color w:val="191919"/>
              </w:rPr>
              <w:t>2,264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color w:val="191919"/>
              </w:rPr>
            </w:pPr>
            <w:r>
              <w:rPr>
                <w:color w:val="191919"/>
              </w:rPr>
              <w:t> </w:t>
            </w:r>
            <w:r>
              <w:rPr>
                <w:color w:val="191919"/>
              </w:rPr>
              <w:t>72,620</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190" w:type="dxa"/>
            <w:gridSpan w:val="2"/>
            <w:tcBorders/>
            <w:shd w:fill="EDEDED" w:val="clear"/>
            <w:vAlign w:val="center"/>
          </w:tcPr>
          <w:p>
            <w:pPr>
              <w:pStyle w:val="TableContents"/>
              <w:bidi w:val="0"/>
              <w:spacing w:before="0" w:after="283"/>
              <w:jc w:val="left"/>
              <w:rPr>
                <w:sz w:val="4"/>
                <w:szCs w:val="4"/>
              </w:rPr>
            </w:pPr>
            <w:r>
              <w:rPr>
                <w:sz w:val="4"/>
                <w:szCs w:val="4"/>
              </w:rPr>
            </w:r>
          </w:p>
        </w:tc>
        <w:tc>
          <w:tcPr>
            <w:tcW w:w="875" w:type="dxa"/>
            <w:gridSpan w:val="2"/>
            <w:tcBorders/>
            <w:shd w:fill="EDEDED" w:val="clear"/>
            <w:vAlign w:val="center"/>
          </w:tcPr>
          <w:p>
            <w:pPr>
              <w:pStyle w:val="TableContents"/>
              <w:bidi w:val="0"/>
              <w:spacing w:before="0" w:after="283"/>
              <w:jc w:val="left"/>
              <w:rPr>
                <w:sz w:val="4"/>
                <w:szCs w:val="4"/>
              </w:rPr>
            </w:pPr>
            <w:r>
              <w:rPr>
                <w:sz w:val="4"/>
                <w:szCs w:val="4"/>
              </w:rPr>
            </w:r>
          </w:p>
        </w:tc>
        <w:tc>
          <w:tcPr>
            <w:tcW w:w="875" w:type="dxa"/>
            <w:gridSpan w:val="2"/>
            <w:tcBorders/>
            <w:shd w:fill="EDEDED" w:val="clear"/>
            <w:vAlign w:val="center"/>
          </w:tcPr>
          <w:p>
            <w:pPr>
              <w:pStyle w:val="TableContents"/>
              <w:bidi w:val="0"/>
              <w:spacing w:before="0" w:after="283"/>
              <w:jc w:val="left"/>
              <w:rPr>
                <w:sz w:val="4"/>
                <w:szCs w:val="4"/>
              </w:rPr>
            </w:pPr>
            <w:r>
              <w:rPr>
                <w:sz w:val="4"/>
                <w:szCs w:val="4"/>
              </w:rPr>
            </w:r>
          </w:p>
        </w:tc>
        <w:tc>
          <w:tcPr>
            <w:tcW w:w="87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6"/>
              </w:rPr>
            </w:pPr>
            <w:r>
              <w:rPr>
                <w:rFonts w:ascii="Arial" w:hAnsi="Arial"/>
                <w:b/>
                <w:color w:val="191919"/>
                <w:sz w:val="16"/>
              </w:rPr>
              <w:t>Luke E. Alverson</w:t>
            </w:r>
          </w:p>
        </w:tc>
        <w:tc>
          <w:tcPr>
            <w:tcW w:w="60" w:type="dxa"/>
            <w:tcBorders/>
            <w:shd w:fill="EDEDED" w:val="clear"/>
            <w:vAlign w:val="center"/>
          </w:tcPr>
          <w:p>
            <w:pPr>
              <w:pStyle w:val="TableContents"/>
              <w:bidi w:val="0"/>
              <w:spacing w:before="0" w:after="283"/>
              <w:jc w:val="left"/>
              <w:rPr/>
            </w:pPr>
            <w:r>
              <w:rPr/>
              <w:t> </w:t>
            </w:r>
          </w:p>
        </w:tc>
        <w:tc>
          <w:tcPr>
            <w:tcW w:w="1280" w:type="dxa"/>
            <w:tcBorders/>
            <w:shd w:fill="EDEDED" w:val="clear"/>
            <w:vAlign w:val="center"/>
          </w:tcPr>
          <w:p>
            <w:pPr>
              <w:pStyle w:val="TableContents"/>
              <w:bidi w:val="0"/>
              <w:spacing w:before="0" w:after="283"/>
              <w:jc w:val="center"/>
              <w:rPr>
                <w:color w:val="191919"/>
              </w:rPr>
            </w:pPr>
            <w:r>
              <w:rPr>
                <w:color w:val="191919"/>
              </w:rPr>
              <w:t>31,000</w:t>
            </w:r>
          </w:p>
        </w:tc>
        <w:tc>
          <w:tcPr>
            <w:tcW w:w="6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center"/>
              <w:rPr>
                <w:color w:val="191919"/>
              </w:rPr>
            </w:pPr>
            <w:r>
              <w:rPr>
                <w:color w:val="191919"/>
              </w:rPr>
              <w:t>21,000</w:t>
            </w:r>
          </w:p>
        </w:tc>
        <w:tc>
          <w:tcPr>
            <w:tcW w:w="60" w:type="dxa"/>
            <w:tcBorders/>
            <w:shd w:fill="EDEDED" w:val="clear"/>
            <w:vAlign w:val="center"/>
          </w:tcPr>
          <w:p>
            <w:pPr>
              <w:pStyle w:val="TableContents"/>
              <w:bidi w:val="0"/>
              <w:spacing w:before="0" w:after="283"/>
              <w:jc w:val="left"/>
              <w:rPr/>
            </w:pPr>
            <w:r>
              <w:rPr/>
              <w:t> </w:t>
            </w:r>
          </w:p>
        </w:tc>
        <w:tc>
          <w:tcPr>
            <w:tcW w:w="815" w:type="dxa"/>
            <w:tcBorders/>
            <w:shd w:fill="EDEDED" w:val="clear"/>
            <w:vAlign w:val="center"/>
          </w:tcPr>
          <w:p>
            <w:pPr>
              <w:pStyle w:val="TableContents"/>
              <w:bidi w:val="0"/>
              <w:spacing w:before="0" w:after="283"/>
              <w:jc w:val="center"/>
              <w:rPr>
                <w:color w:val="191919"/>
              </w:rPr>
            </w:pPr>
            <w:r>
              <w:rPr>
                <w:color w:val="191919"/>
              </w:rPr>
              <w:t>25,442</w:t>
            </w:r>
          </w:p>
        </w:tc>
        <w:tc>
          <w:tcPr>
            <w:tcW w:w="60" w:type="dxa"/>
            <w:tcBorders/>
            <w:shd w:fill="EDEDED" w:val="clear"/>
            <w:vAlign w:val="center"/>
          </w:tcPr>
          <w:p>
            <w:pPr>
              <w:pStyle w:val="TableContents"/>
              <w:bidi w:val="0"/>
              <w:spacing w:before="0" w:after="283"/>
              <w:jc w:val="left"/>
              <w:rPr/>
            </w:pPr>
            <w:r>
              <w:rPr/>
              <w:t> </w:t>
            </w:r>
          </w:p>
        </w:tc>
        <w:tc>
          <w:tcPr>
            <w:tcW w:w="815" w:type="dxa"/>
            <w:tcBorders/>
            <w:shd w:fill="EDEDED" w:val="clear"/>
            <w:vAlign w:val="center"/>
          </w:tcPr>
          <w:p>
            <w:pPr>
              <w:pStyle w:val="TableContents"/>
              <w:bidi w:val="0"/>
              <w:spacing w:before="0" w:after="283"/>
              <w:jc w:val="center"/>
              <w:rPr>
                <w:color w:val="191919"/>
              </w:rPr>
            </w:pPr>
            <w:r>
              <w:rPr>
                <w:color w:val="191919"/>
              </w:rPr>
              <w:t> </w:t>
            </w:r>
            <w:r>
              <w:rPr>
                <w:color w:val="191919"/>
              </w:rPr>
              <w:t>2,227</w:t>
            </w:r>
          </w:p>
        </w:tc>
        <w:tc>
          <w:tcPr>
            <w:tcW w:w="60" w:type="dxa"/>
            <w:tcBorders/>
            <w:shd w:fill="EDEDED" w:val="clear"/>
            <w:vAlign w:val="center"/>
          </w:tcPr>
          <w:p>
            <w:pPr>
              <w:pStyle w:val="TableContents"/>
              <w:bidi w:val="0"/>
              <w:spacing w:before="0" w:after="283"/>
              <w:jc w:val="left"/>
              <w:rPr/>
            </w:pPr>
            <w:r>
              <w:rPr/>
              <w:t> </w:t>
            </w:r>
          </w:p>
        </w:tc>
        <w:tc>
          <w:tcPr>
            <w:tcW w:w="815" w:type="dxa"/>
            <w:tcBorders/>
            <w:shd w:fill="EDEDED" w:val="clear"/>
            <w:vAlign w:val="center"/>
          </w:tcPr>
          <w:p>
            <w:pPr>
              <w:pStyle w:val="TableContents"/>
              <w:bidi w:val="0"/>
              <w:spacing w:before="0" w:after="283"/>
              <w:jc w:val="center"/>
              <w:rPr>
                <w:color w:val="191919"/>
              </w:rPr>
            </w:pPr>
            <w:r>
              <w:rPr>
                <w:color w:val="191919"/>
              </w:rPr>
              <w:t> </w:t>
            </w:r>
            <w:r>
              <w:rPr>
                <w:color w:val="191919"/>
              </w:rPr>
              <w:t>79,669</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c>
          <w:tcPr>
            <w:tcW w:w="875" w:type="dxa"/>
            <w:gridSpan w:val="2"/>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7DB655"/>
            </w:tcBorders>
            <w:tcMar>
              <w:bottom w:w="6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Danielle R. Garde</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280"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31,710</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130"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21,000</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15"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25,442</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15"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 </w:t>
            </w:r>
            <w:r>
              <w:rPr>
                <w:color w:val="191919"/>
              </w:rPr>
              <w:t>2,380</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15" w:type="dxa"/>
            <w:tcBorders>
              <w:bottom w:val="single" w:sz="6" w:space="0" w:color="7DB655"/>
            </w:tcBorders>
            <w:tcMar>
              <w:bottom w:w="60" w:type="dxa"/>
            </w:tcMar>
            <w:vAlign w:val="center"/>
          </w:tcPr>
          <w:p>
            <w:pPr>
              <w:pStyle w:val="TableContents"/>
              <w:bidi w:val="0"/>
              <w:spacing w:before="0" w:after="283"/>
              <w:jc w:val="center"/>
              <w:rPr>
                <w:color w:val="191919"/>
              </w:rPr>
            </w:pPr>
            <w:r>
              <w:rPr>
                <w:color w:val="191919"/>
              </w:rPr>
              <w:t> </w:t>
            </w:r>
            <w:r>
              <w:rPr>
                <w:color w:val="191919"/>
              </w:rPr>
              <w:t>80,532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i/>
                <w:color w:val="191919"/>
              </w:rPr>
            </w:pPr>
            <w:r>
              <w:rPr>
                <w:i/>
                <w:color w:val="191919"/>
              </w:rPr>
              <w:t>(A)</w:t>
            </w:r>
          </w:p>
        </w:tc>
        <w:tc>
          <w:tcPr>
            <w:tcW w:w="981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matching and discretionary Company contributions to the NEOs under the Company’s 401(k) plan, which is generally available to all the Company’s U.S.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i/>
                <w:color w:val="191919"/>
              </w:rPr>
            </w:pPr>
            <w:r>
              <w:rPr>
                <w:i/>
                <w:color w:val="191919"/>
              </w:rPr>
              <w:t>(B)</w:t>
            </w:r>
          </w:p>
        </w:tc>
        <w:tc>
          <w:tcPr>
            <w:tcW w:w="983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Company contributions to the Company’s ESOP for fiscal 2026, which is generally available to all the Company’s U.S. employees. These amounts were accrued in fiscal 2026 but contributed in fiscal 2027.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i/>
                <w:color w:val="191919"/>
              </w:rPr>
            </w:pPr>
            <w:r>
              <w:rPr>
                <w:i/>
                <w:color w:val="191919"/>
              </w:rPr>
              <w:t>(C)</w:t>
            </w:r>
          </w:p>
        </w:tc>
        <w:tc>
          <w:tcPr>
            <w:tcW w:w="980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annual premiums for group term life insurance, the Company’s portion of annual premiums for medical, dental and vision benefits and the Company’s portion of disability premiums.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350"/>
        <w:gridCol w:w="81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i/>
                <w:color w:val="191919"/>
              </w:rPr>
            </w:pPr>
            <w:r>
              <w:rPr>
                <w:i/>
                <w:color w:val="191919"/>
              </w:rPr>
              <w:t>(D)</w:t>
            </w:r>
          </w:p>
        </w:tc>
        <w:tc>
          <w:tcPr>
            <w:tcW w:w="819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dividends paid on outstanding, unvested restricted stock awards, which are entitled to voting and dividend rights at grant. </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5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22" descr=""/>
                          <pic:cNvPicPr>
                            <a:picLocks noChangeAspect="1" noChangeArrowheads="1"/>
                          </pic:cNvPicPr>
                        </pic:nvPicPr>
                        <pic:blipFill>
                          <a:blip r:embed="rId32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color w:val="191919"/>
              </w:rPr>
            </w:pPr>
            <w:r>
              <w:rPr>
                <w:i/>
                <w:color w:val="191919"/>
              </w:rPr>
              <w:t>(6)</w:t>
            </w:r>
          </w:p>
        </w:tc>
        <w:tc>
          <w:tcPr>
            <w:tcW w:w="995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annual grants of 5,971 shares of restricted stock ($1,505,886) and 8,004 shares of performance shares ($3,432,115) made under the Company’s LTIP. Restricted stock award values were calculated using a price per share of $252.20, the closing market price of the Company’s common stock as reported by the NYSE on October 1, 2025, the date of grant. Performance unit award values were calculated using a fair value of $428.80 per share as determined by the Monte Carlo simulation. The maximum potential value of the performance shares at grant date, assuming the highest level of performance conditions, was $4,905,492.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color w:val="191919"/>
              </w:rPr>
            </w:pPr>
            <w:r>
              <w:rPr>
                <w:i/>
                <w:color w:val="191919"/>
              </w:rPr>
              <w:t>(7)</w:t>
            </w:r>
          </w:p>
        </w:tc>
        <w:tc>
          <w:tcPr>
            <w:tcW w:w="995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annual grants of 1,728 shares of restricted stock ($435,802) and 1,544 shares of performance shares ($662,067) made under the Company’s LTIP. Restricted stock award values were calculated using a price per share of $252.20, the closing market price of the Company’s common stock as reported by the NYSE on October 1, 2025, the date of grant. Performance unit award values were calculated using a fair value of $428.80 per share as determined by the Monte Carlo simulation. The maximum potential value of the performance shares at grant date, assuming the highest level of performance conditions, was $946,287.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color w:val="191919"/>
              </w:rPr>
            </w:pPr>
            <w:r>
              <w:rPr>
                <w:i/>
                <w:color w:val="191919"/>
              </w:rPr>
              <w:t>(8)</w:t>
            </w:r>
          </w:p>
        </w:tc>
        <w:tc>
          <w:tcPr>
            <w:tcW w:w="995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annual grants of 1,212 shares of restricted stock ($305,666) and 1,083 shares of performance shares ($464,390) made under the Company’s LTIP. Restricted stock award values were calculated using a price per share of $252.20, the closing market price of the Company’s common stock as reported by the NYSE on October 1, 2025, the date of grant. Performance unit award values were calculated using a fair value of $428.80 per share as determined by the Monte Carlo simulation. The maximum potential value of the performance shares at grant date, assuming the highest level of performance conditions, was $663,749.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color w:val="191919"/>
              </w:rPr>
            </w:pPr>
            <w:r>
              <w:rPr>
                <w:i/>
                <w:color w:val="191919"/>
              </w:rPr>
              <w:t>(9)</w:t>
            </w:r>
          </w:p>
        </w:tc>
        <w:tc>
          <w:tcPr>
            <w:tcW w:w="995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annual grants of 1,003 shares of restricted stock ($252,957) and 896 shares of performance shares ($384,205) made under the Company’s LTIP. Restricted stock award values were calculated using a price per share of $252.20, the closing market price of the Company’s common stock as reported by the NYSE on October 1, 2025, the date of grant. Performance unit award values were calculated using a fair value of $428.80 per share as determined by the Monte Carlo simulation. The maximum potential value of the performance shares at grant date, assuming the highest level of performance conditions, was $549,140.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i/>
                <w:color w:val="191919"/>
              </w:rPr>
            </w:pPr>
            <w:r>
              <w:rPr>
                <w:i/>
                <w:color w:val="191919"/>
              </w:rPr>
              <w:t>(10)</w:t>
            </w:r>
          </w:p>
        </w:tc>
        <w:tc>
          <w:tcPr>
            <w:tcW w:w="983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Includes annual grants of 1,003 shares of restricted stock ($252,957) and 896 shares of performance shares ($384,205) made under the Company’s LTIP. Restricted stock award values were calculated using a price per share of $252.20, the closing market price of the Company’s common stock as reported by the NYSE on October 1, 2025, the date of grant. Performance unit award values were calculated using a fair value of $428.80 per share as determined by the Monte Carlo simulation. The maximum potential value of the performance shares at grant date, assuming the highest level of performance conditions, was $549,140. </w:t>
            </w:r>
          </w:p>
        </w:tc>
      </w:tr>
    </w:tbl>
    <w:p>
      <w:pPr>
        <w:pStyle w:val="TextBody"/>
        <w:bidi w:val="0"/>
        <w:spacing w:before="360" w:after="0"/>
        <w:jc w:val="left"/>
        <w:rPr>
          <w:rFonts w:ascii="Arial" w:hAnsi="Arial"/>
          <w:b/>
          <w:color w:val="7DB655"/>
          <w:sz w:val="30"/>
        </w:rPr>
      </w:pPr>
      <w:bookmarkStart w:id="39" w:name="toc36145_21a"/>
      <w:bookmarkStart w:id="40" w:name="txa136145_12"/>
      <w:bookmarkEnd w:id="39"/>
      <w:bookmarkEnd w:id="40"/>
      <w:r>
        <w:rPr>
          <w:rFonts w:ascii="Arial" w:hAnsi="Arial"/>
          <w:b/>
          <w:color w:val="7DB655"/>
          <w:sz w:val="30"/>
        </w:rPr>
        <w:t xml:space="preserve">2026 Grants of Plan-Based Awards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certain information with respect to plan-based awards granted to the NEOs for the year ended March 31, 2026. </w:t>
      </w:r>
    </w:p>
    <w:p>
      <w:pPr>
        <w:pStyle w:val="TextBody"/>
        <w:bidi w:val="0"/>
        <w:spacing w:before="0" w:after="0"/>
        <w:jc w:val="left"/>
        <w:rPr/>
      </w:pPr>
      <w:r>
        <w:rPr/>
        <w:t> </w:t>
      </w:r>
    </w:p>
    <w:tbl>
      <w:tblPr>
        <w:tblW w:w="10275" w:type="dxa"/>
        <w:jc w:val="left"/>
        <w:tblInd w:w="0" w:type="dxa"/>
        <w:tblLayout w:type="fixed"/>
        <w:tblCellMar>
          <w:top w:w="0" w:type="dxa"/>
          <w:left w:w="0" w:type="dxa"/>
          <w:bottom w:w="0" w:type="dxa"/>
          <w:right w:w="0" w:type="dxa"/>
        </w:tblCellMar>
      </w:tblPr>
      <w:tblGrid>
        <w:gridCol w:w="965"/>
        <w:gridCol w:w="120"/>
        <w:gridCol w:w="125"/>
        <w:gridCol w:w="1050"/>
        <w:gridCol w:w="215"/>
        <w:gridCol w:w="60"/>
        <w:gridCol w:w="830"/>
        <w:gridCol w:w="120"/>
        <w:gridCol w:w="980"/>
        <w:gridCol w:w="120"/>
        <w:gridCol w:w="980"/>
        <w:gridCol w:w="120"/>
        <w:gridCol w:w="830"/>
        <w:gridCol w:w="120"/>
        <w:gridCol w:w="560"/>
        <w:gridCol w:w="120"/>
        <w:gridCol w:w="785"/>
        <w:gridCol w:w="120"/>
        <w:gridCol w:w="725"/>
        <w:gridCol w:w="60"/>
        <w:gridCol w:w="60"/>
        <w:gridCol w:w="980"/>
        <w:gridCol w:w="230"/>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0" w:type="dxa"/>
            <w:gridSpan w:val="5"/>
            <w:tcBorders>
              <w:bottom w:val="single" w:sz="2" w:space="0" w:color="7DB655"/>
            </w:tcBorders>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91919"/>
                <w:sz w:val="16"/>
              </w:rPr>
            </w:pPr>
            <w:r>
              <w:rPr>
                <w:rFonts w:ascii="Arial" w:hAnsi="Arial"/>
                <w:b/>
                <w:color w:val="191919"/>
                <w:sz w:val="16"/>
              </w:rPr>
              <w:t>Estimated Future Payouts</w:t>
            </w:r>
          </w:p>
          <w:p>
            <w:pPr>
              <w:pStyle w:val="TableContents"/>
              <w:bidi w:val="0"/>
              <w:spacing w:before="0" w:after="0"/>
              <w:jc w:val="center"/>
              <w:rPr>
                <w:rFonts w:ascii="Arial" w:hAnsi="Arial"/>
                <w:b/>
                <w:color w:val="191919"/>
                <w:sz w:val="16"/>
              </w:rPr>
            </w:pPr>
            <w:r>
              <w:rPr>
                <w:rFonts w:ascii="Arial" w:hAnsi="Arial"/>
                <w:b/>
                <w:color w:val="191919"/>
                <w:sz w:val="16"/>
              </w:rPr>
              <w:t>Under Non-Equity</w:t>
              <w:br/>
              <w:t>Incentive Plan Awards</w:t>
            </w:r>
          </w:p>
        </w:tc>
        <w:tc>
          <w:tcPr>
            <w:tcW w:w="120" w:type="dxa"/>
            <w:tcBorders/>
            <w:vAlign w:val="center"/>
          </w:tcPr>
          <w:p>
            <w:pPr>
              <w:pStyle w:val="TableContents"/>
              <w:bidi w:val="0"/>
              <w:spacing w:before="0" w:after="283"/>
              <w:jc w:val="left"/>
              <w:rPr/>
            </w:pPr>
            <w:r>
              <w:rPr/>
              <w:t>  </w:t>
            </w:r>
          </w:p>
        </w:tc>
        <w:tc>
          <w:tcPr>
            <w:tcW w:w="2415" w:type="dxa"/>
            <w:gridSpan w:val="5"/>
            <w:tcBorders>
              <w:bottom w:val="single" w:sz="2" w:space="0" w:color="7DB655"/>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Estimated Future Payouts</w:t>
              <w:br/>
              <w:t>Under Equity</w:t>
              <w:br/>
              <w:t>Incentive Plan Awards(1)</w:t>
            </w:r>
          </w:p>
        </w:tc>
        <w:tc>
          <w:tcPr>
            <w:tcW w:w="12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725" w:type="dxa"/>
            <w:vMerge w:val="restart"/>
            <w:tcBorders>
              <w:bottom w:val="single" w:sz="56" w:space="0" w:color="7DB655"/>
            </w:tcBorders>
            <w:tcMar>
              <w:bottom w:w="4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All Other</w:t>
              <w:br/>
              <w:t>Stock</w:t>
              <w:br/>
              <w:t>Awards:</w:t>
              <w:br/>
              <w:t>Shares</w:t>
              <w:br/>
              <w:t>of Stock</w:t>
              <w:br/>
              <w:t>or Units</w:t>
              <w:br/>
              <w:t>(#)</w:t>
            </w:r>
          </w:p>
          <w:p>
            <w:pPr>
              <w:pStyle w:val="TableContents"/>
              <w:bidi w:val="0"/>
              <w:spacing w:before="0" w:after="20"/>
              <w:jc w:val="left"/>
              <w:rPr/>
            </w:pPr>
            <w:r>
              <w:rPr/>
              <w:t> </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56" w:space="0" w:color="7DB655"/>
            </w:tcBorders>
            <w:tcMar>
              <w:bottom w:w="4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Grant Date</w:t>
              <w:br/>
              <w:t>Fair Value</w:t>
              <w:br/>
              <w:t>of</w:t>
              <w:br/>
              <w:t>Stock and</w:t>
              <w:br/>
              <w:t>Option</w:t>
              <w:br/>
              <w:t>Awards</w:t>
              <w:br/>
              <w:t>($)(2)</w:t>
            </w:r>
          </w:p>
          <w:p>
            <w:pPr>
              <w:pStyle w:val="TableContents"/>
              <w:bidi w:val="0"/>
              <w:spacing w:before="0" w:after="20"/>
              <w:jc w:val="left"/>
              <w:rPr/>
            </w:pPr>
            <w:r>
              <w:rPr/>
              <w:t> </w:t>
            </w:r>
          </w:p>
        </w:tc>
        <w:tc>
          <w:tcPr>
            <w:tcW w:w="23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965" w:type="dxa"/>
            <w:tcBorders>
              <w:bottom w:val="single" w:sz="56" w:space="0" w:color="7DB655"/>
            </w:tcBorders>
            <w:tcMar>
              <w:bottom w:w="6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75"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Grant Date</w:t>
            </w:r>
          </w:p>
        </w:tc>
        <w:tc>
          <w:tcPr>
            <w:tcW w:w="21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830" w:type="dxa"/>
            <w:tcBorders>
              <w:bottom w:val="single" w:sz="5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Threshold</w:t>
              <w:br/>
              <w: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980" w:type="dxa"/>
            <w:tcBorders>
              <w:bottom w:val="single" w:sz="5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Target</w:t>
              <w:br/>
              <w: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980" w:type="dxa"/>
            <w:tcBorders>
              <w:bottom w:val="single" w:sz="5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Maximum</w:t>
              <w:br/>
              <w: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830" w:type="dxa"/>
            <w:tcBorders>
              <w:bottom w:val="single" w:sz="5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Threshold</w:t>
              <w:br/>
              <w: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560" w:type="dxa"/>
            <w:tcBorders>
              <w:bottom w:val="single" w:sz="5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Target</w:t>
              <w:br/>
              <w: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785" w:type="dxa"/>
            <w:tcBorders>
              <w:bottom w:val="single" w:sz="5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6"/>
              </w:rPr>
            </w:pPr>
            <w:r>
              <w:rPr>
                <w:rFonts w:ascii="Arial" w:hAnsi="Arial"/>
                <w:b/>
                <w:color w:val="191919"/>
                <w:sz w:val="16"/>
              </w:rPr>
              <w:t>Maximum</w:t>
              <w:br/>
              <w:t>(#)</w:t>
            </w:r>
          </w:p>
        </w:tc>
        <w:tc>
          <w:tcPr>
            <w:tcW w:w="120" w:type="dxa"/>
            <w:vMerge w:val="continue"/>
            <w:tcBorders>
              <w:bottom w:val="single" w:sz="56" w:space="0" w:color="7DB655"/>
            </w:tcBorders>
            <w:tcMar>
              <w:bottom w:w="28" w:type="dxa"/>
            </w:tcMar>
            <w:vAlign w:val="center"/>
          </w:tcPr>
          <w:p>
            <w:pPr>
              <w:pStyle w:val="Normal"/>
              <w:bidi w:val="0"/>
              <w:jc w:val="left"/>
              <w:rPr/>
            </w:pPr>
            <w:r>
              <w:rPr/>
            </w:r>
          </w:p>
        </w:tc>
        <w:tc>
          <w:tcPr>
            <w:tcW w:w="725" w:type="dxa"/>
            <w:vMerge w:val="continue"/>
            <w:tcBorders>
              <w:bottom w:val="single" w:sz="56" w:space="0" w:color="7DB655"/>
            </w:tcBorders>
            <w:tcMar>
              <w:bottom w:w="40" w:type="dxa"/>
            </w:tcMar>
            <w:vAlign w:val="center"/>
          </w:tcPr>
          <w:p>
            <w:pPr>
              <w:pStyle w:val="Normal"/>
              <w:bidi w:val="0"/>
              <w:jc w:val="left"/>
              <w:rPr/>
            </w:pPr>
            <w:r>
              <w:rPr/>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040" w:type="dxa"/>
            <w:gridSpan w:val="2"/>
            <w:vMerge w:val="continue"/>
            <w:tcBorders>
              <w:bottom w:val="single" w:sz="56" w:space="0" w:color="7DB655"/>
            </w:tcBorders>
            <w:tcMar>
              <w:bottom w:w="40" w:type="dxa"/>
            </w:tcMar>
            <w:vAlign w:val="center"/>
          </w:tcPr>
          <w:p>
            <w:pPr>
              <w:pStyle w:val="Normal"/>
              <w:bidi w:val="0"/>
              <w:jc w:val="left"/>
              <w:rPr/>
            </w:pPr>
            <w:r>
              <w:rPr/>
            </w:r>
          </w:p>
        </w:tc>
        <w:tc>
          <w:tcPr>
            <w:tcW w:w="230" w:type="dxa"/>
            <w:vMerge w:val="continue"/>
            <w:tcBorders>
              <w:bottom w:val="single" w:sz="56" w:space="0" w:color="7DB655"/>
            </w:tcBorders>
            <w:tcMar>
              <w:bottom w:w="28" w:type="dxa"/>
            </w:tcMar>
            <w:vAlign w:val="center"/>
          </w:tcPr>
          <w:p>
            <w:pPr>
              <w:pStyle w:val="Normal"/>
              <w:bidi w:val="0"/>
              <w:jc w:val="left"/>
              <w:rPr/>
            </w:pPr>
            <w:r>
              <w:rPr/>
            </w:r>
          </w:p>
        </w:tc>
      </w:tr>
      <w:tr>
        <w:trPr/>
        <w:tc>
          <w:tcPr>
            <w:tcW w:w="965"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Joseph B. Armes</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5/7/2025</w:t>
            </w:r>
          </w:p>
        </w:tc>
        <w:tc>
          <w:tcPr>
            <w:tcW w:w="215" w:type="dxa"/>
            <w:tcBorders/>
            <w:vAlign w:val="center"/>
          </w:tcPr>
          <w:p>
            <w:pPr>
              <w:pStyle w:val="TableContents"/>
              <w:bidi w:val="0"/>
              <w:spacing w:before="0" w:after="283"/>
              <w:jc w:val="left"/>
              <w:rPr>
                <w:color w:val="191919"/>
              </w:rPr>
            </w:pPr>
            <w:r>
              <w:rPr>
                <w:color w:val="191919"/>
              </w:rPr>
              <w:t>(3)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color w:val="191919"/>
              </w:rPr>
            </w:pPr>
            <w:r>
              <w:rPr>
                <w:color w:val="191919"/>
              </w:rPr>
              <w:t>360,750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color w:val="191919"/>
              </w:rPr>
            </w:pPr>
            <w:r>
              <w:rPr>
                <w:color w:val="191919"/>
              </w:rPr>
              <w:t>1,202,500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color w:val="191919"/>
              </w:rPr>
            </w:pPr>
            <w:r>
              <w:rPr>
                <w:color w:val="191919"/>
              </w:rPr>
              <w:t>2,405,000</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5/7/2025</w:t>
            </w:r>
          </w:p>
        </w:tc>
        <w:tc>
          <w:tcPr>
            <w:tcW w:w="21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color w:val="191919"/>
              </w:rPr>
            </w:pPr>
            <w:r>
              <w:rPr>
                <w:color w:val="191919"/>
              </w:rPr>
              <w:t>4,002</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color w:val="191919"/>
              </w:rPr>
            </w:pPr>
            <w:r>
              <w:rPr>
                <w:color w:val="191919"/>
              </w:rPr>
              <w:t>8,004</w:t>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color w:val="191919"/>
              </w:rPr>
            </w:pPr>
            <w:r>
              <w:rPr>
                <w:color w:val="191919"/>
              </w:rPr>
              <w:t>16,008</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3,432,115</w:t>
            </w:r>
          </w:p>
        </w:tc>
        <w:tc>
          <w:tcPr>
            <w:tcW w:w="230" w:type="dxa"/>
            <w:tcBorders/>
            <w:vAlign w:val="center"/>
          </w:tcPr>
          <w:p>
            <w:pPr>
              <w:pStyle w:val="TableContents"/>
              <w:bidi w:val="0"/>
              <w:spacing w:before="0" w:after="283"/>
              <w:jc w:val="left"/>
              <w:rPr>
                <w:color w:val="191919"/>
              </w:rPr>
            </w:pPr>
            <w:r>
              <w:rPr>
                <w:color w:val="191919"/>
              </w:rPr>
              <w:t>(4) </w:t>
            </w:r>
          </w:p>
        </w:tc>
      </w:tr>
      <w:tr>
        <w:trPr/>
        <w:tc>
          <w:tcPr>
            <w:tcW w:w="9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10/1/2025</w:t>
            </w:r>
          </w:p>
        </w:tc>
        <w:tc>
          <w:tcPr>
            <w:tcW w:w="21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color w:val="191919"/>
              </w:rPr>
            </w:pPr>
            <w:r>
              <w:rPr>
                <w:color w:val="191919"/>
              </w:rPr>
              <w:t>5,971(5)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1,505,886</w:t>
            </w:r>
          </w:p>
        </w:tc>
        <w:tc>
          <w:tcPr>
            <w:tcW w:w="230" w:type="dxa"/>
            <w:tcBorders/>
            <w:vAlign w:val="center"/>
          </w:tcPr>
          <w:p>
            <w:pPr>
              <w:pStyle w:val="TableContents"/>
              <w:bidi w:val="0"/>
              <w:spacing w:before="0" w:after="283"/>
              <w:jc w:val="left"/>
              <w:rPr>
                <w:color w:val="191919"/>
              </w:rPr>
            </w:pPr>
            <w:r>
              <w:rPr>
                <w:color w:val="191919"/>
              </w:rPr>
              <w:t> </w:t>
            </w:r>
          </w:p>
        </w:tc>
      </w:tr>
      <w:tr>
        <w:trPr/>
        <w:tc>
          <w:tcPr>
            <w:tcW w:w="965" w:type="dxa"/>
            <w:tcBorders/>
            <w:shd w:fill="EDEDED" w:val="clear"/>
            <w:vAlign w:val="center"/>
          </w:tcPr>
          <w:p>
            <w:pPr>
              <w:pStyle w:val="TableContents"/>
              <w:bidi w:val="0"/>
              <w:spacing w:before="0" w:after="283"/>
              <w:jc w:val="left"/>
              <w:rPr>
                <w:sz w:val="4"/>
                <w:szCs w:val="4"/>
              </w:rPr>
            </w:pPr>
            <w:r>
              <w:rPr>
                <w:sz w:val="4"/>
                <w:szCs w:val="4"/>
              </w:rPr>
            </w:r>
          </w:p>
        </w:tc>
        <w:tc>
          <w:tcPr>
            <w:tcW w:w="1510"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2"/>
            <w:tcBorders/>
            <w:shd w:fill="EDEDED" w:val="clear"/>
            <w:vAlign w:val="center"/>
          </w:tcPr>
          <w:p>
            <w:pPr>
              <w:pStyle w:val="TableContents"/>
              <w:bidi w:val="0"/>
              <w:spacing w:before="0" w:after="283"/>
              <w:jc w:val="left"/>
              <w:rPr>
                <w:sz w:val="4"/>
                <w:szCs w:val="4"/>
              </w:rPr>
            </w:pPr>
            <w:r>
              <w:rPr>
                <w:sz w:val="4"/>
                <w:szCs w:val="4"/>
              </w:rPr>
            </w:r>
          </w:p>
        </w:tc>
        <w:tc>
          <w:tcPr>
            <w:tcW w:w="1100" w:type="dxa"/>
            <w:gridSpan w:val="2"/>
            <w:tcBorders/>
            <w:shd w:fill="EDEDED" w:val="clear"/>
            <w:vAlign w:val="center"/>
          </w:tcPr>
          <w:p>
            <w:pPr>
              <w:pStyle w:val="TableContents"/>
              <w:bidi w:val="0"/>
              <w:spacing w:before="0" w:after="283"/>
              <w:jc w:val="left"/>
              <w:rPr>
                <w:sz w:val="4"/>
                <w:szCs w:val="4"/>
              </w:rPr>
            </w:pPr>
            <w:r>
              <w:rPr>
                <w:sz w:val="4"/>
                <w:szCs w:val="4"/>
              </w:rPr>
            </w:r>
          </w:p>
        </w:tc>
        <w:tc>
          <w:tcPr>
            <w:tcW w:w="110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680" w:type="dxa"/>
            <w:gridSpan w:val="2"/>
            <w:tcBorders/>
            <w:shd w:fill="EDEDED" w:val="clear"/>
            <w:vAlign w:val="center"/>
          </w:tcPr>
          <w:p>
            <w:pPr>
              <w:pStyle w:val="TableContents"/>
              <w:bidi w:val="0"/>
              <w:spacing w:before="0" w:after="283"/>
              <w:jc w:val="left"/>
              <w:rPr>
                <w:sz w:val="4"/>
                <w:szCs w:val="4"/>
              </w:rPr>
            </w:pPr>
            <w:r>
              <w:rPr>
                <w:sz w:val="4"/>
                <w:szCs w:val="4"/>
              </w:rPr>
            </w:r>
          </w:p>
        </w:tc>
        <w:tc>
          <w:tcPr>
            <w:tcW w:w="905" w:type="dxa"/>
            <w:gridSpan w:val="2"/>
            <w:tcBorders/>
            <w:shd w:fill="EDEDED" w:val="clear"/>
            <w:vAlign w:val="center"/>
          </w:tcPr>
          <w:p>
            <w:pPr>
              <w:pStyle w:val="TableContents"/>
              <w:bidi w:val="0"/>
              <w:spacing w:before="0" w:after="283"/>
              <w:jc w:val="left"/>
              <w:rPr>
                <w:sz w:val="4"/>
                <w:szCs w:val="4"/>
              </w:rPr>
            </w:pPr>
            <w:r>
              <w:rPr>
                <w:sz w:val="4"/>
                <w:szCs w:val="4"/>
              </w:rPr>
            </w:r>
          </w:p>
        </w:tc>
        <w:tc>
          <w:tcPr>
            <w:tcW w:w="845" w:type="dxa"/>
            <w:gridSpan w:val="2"/>
            <w:tcBorders/>
            <w:shd w:fill="EDEDED" w:val="clear"/>
            <w:vAlign w:val="center"/>
          </w:tcPr>
          <w:p>
            <w:pPr>
              <w:pStyle w:val="TableContents"/>
              <w:bidi w:val="0"/>
              <w:spacing w:before="0" w:after="283"/>
              <w:jc w:val="left"/>
              <w:rPr>
                <w:sz w:val="4"/>
                <w:szCs w:val="4"/>
              </w:rPr>
            </w:pPr>
            <w:r>
              <w:rPr>
                <w:sz w:val="4"/>
                <w:szCs w:val="4"/>
              </w:rPr>
            </w:r>
          </w:p>
        </w:tc>
        <w:tc>
          <w:tcPr>
            <w:tcW w:w="133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965" w:type="dxa"/>
            <w:vMerge w:val="restart"/>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James E. Perry</w:t>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191919"/>
              </w:rPr>
            </w:pPr>
            <w:r>
              <w:rPr>
                <w:color w:val="191919"/>
              </w:rPr>
              <w:t> </w:t>
            </w:r>
          </w:p>
        </w:tc>
        <w:tc>
          <w:tcPr>
            <w:tcW w:w="1050" w:type="dxa"/>
            <w:tcBorders/>
            <w:shd w:fill="EDEDED" w:val="clear"/>
            <w:vAlign w:val="center"/>
          </w:tcPr>
          <w:p>
            <w:pPr>
              <w:pStyle w:val="TableContents"/>
              <w:bidi w:val="0"/>
              <w:spacing w:before="0" w:after="283"/>
              <w:jc w:val="right"/>
              <w:rPr>
                <w:color w:val="191919"/>
              </w:rPr>
            </w:pPr>
            <w:r>
              <w:rPr>
                <w:color w:val="191919"/>
              </w:rPr>
              <w:t>5/7/2025</w:t>
            </w:r>
          </w:p>
        </w:tc>
        <w:tc>
          <w:tcPr>
            <w:tcW w:w="215" w:type="dxa"/>
            <w:tcBorders/>
            <w:shd w:fill="EDEDED" w:val="clear"/>
            <w:vAlign w:val="center"/>
          </w:tcPr>
          <w:p>
            <w:pPr>
              <w:pStyle w:val="TableContents"/>
              <w:bidi w:val="0"/>
              <w:spacing w:before="0" w:after="283"/>
              <w:jc w:val="left"/>
              <w:rPr>
                <w:color w:val="191919"/>
              </w:rPr>
            </w:pPr>
            <w:r>
              <w:rPr>
                <w:color w:val="191919"/>
              </w:rPr>
              <w:t>(3) </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center"/>
              <w:rPr>
                <w:color w:val="191919"/>
              </w:rPr>
            </w:pPr>
            <w:r>
              <w:rPr>
                <w:color w:val="191919"/>
              </w:rPr>
              <w:t>117,000</w:t>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center"/>
              <w:rPr>
                <w:color w:val="191919"/>
              </w:rPr>
            </w:pPr>
            <w:r>
              <w:rPr>
                <w:color w:val="191919"/>
              </w:rPr>
              <w:t>  </w:t>
            </w:r>
            <w:r>
              <w:rPr>
                <w:color w:val="191919"/>
              </w:rPr>
              <w:t>390,000</w:t>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center"/>
              <w:rPr>
                <w:color w:val="191919"/>
              </w:rPr>
            </w:pPr>
            <w:r>
              <w:rPr>
                <w:color w:val="191919"/>
              </w:rPr>
              <w:t>  </w:t>
            </w:r>
            <w:r>
              <w:rPr>
                <w:color w:val="191919"/>
              </w:rPr>
              <w:t>780,000</w:t>
            </w:r>
          </w:p>
        </w:tc>
        <w:tc>
          <w:tcPr>
            <w:tcW w:w="12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5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2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230" w:type="dxa"/>
            <w:tcBorders/>
            <w:shd w:fill="EDEDED" w:val="clear"/>
            <w:vAlign w:val="center"/>
          </w:tcPr>
          <w:p>
            <w:pPr>
              <w:pStyle w:val="TableContents"/>
              <w:bidi w:val="0"/>
              <w:spacing w:before="0" w:after="283"/>
              <w:jc w:val="left"/>
              <w:rPr>
                <w:sz w:val="4"/>
                <w:szCs w:val="4"/>
              </w:rPr>
            </w:pPr>
            <w:r>
              <w:rPr>
                <w:sz w:val="4"/>
                <w:szCs w:val="4"/>
              </w:rPr>
            </w:r>
          </w:p>
        </w:tc>
      </w:tr>
      <w:tr>
        <w:trPr/>
        <w:tc>
          <w:tcPr>
            <w:tcW w:w="965"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191919"/>
              </w:rPr>
            </w:pPr>
            <w:r>
              <w:rPr>
                <w:color w:val="191919"/>
              </w:rPr>
              <w:t> </w:t>
            </w:r>
          </w:p>
        </w:tc>
        <w:tc>
          <w:tcPr>
            <w:tcW w:w="1050" w:type="dxa"/>
            <w:tcBorders/>
            <w:shd w:fill="EDEDED" w:val="clear"/>
            <w:vAlign w:val="center"/>
          </w:tcPr>
          <w:p>
            <w:pPr>
              <w:pStyle w:val="TableContents"/>
              <w:bidi w:val="0"/>
              <w:spacing w:before="0" w:after="283"/>
              <w:jc w:val="right"/>
              <w:rPr>
                <w:color w:val="191919"/>
              </w:rPr>
            </w:pPr>
            <w:r>
              <w:rPr>
                <w:color w:val="191919"/>
              </w:rPr>
              <w:t>5/7/2025</w:t>
            </w:r>
          </w:p>
        </w:tc>
        <w:tc>
          <w:tcPr>
            <w:tcW w:w="215"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center"/>
              <w:rPr>
                <w:color w:val="191919"/>
              </w:rPr>
            </w:pPr>
            <w:r>
              <w:rPr>
                <w:color w:val="191919"/>
              </w:rPr>
              <w:t>  </w:t>
            </w:r>
            <w:r>
              <w:rPr>
                <w:color w:val="191919"/>
              </w:rPr>
              <w:t>772</w:t>
            </w:r>
          </w:p>
        </w:tc>
        <w:tc>
          <w:tcPr>
            <w:tcW w:w="120" w:type="dxa"/>
            <w:tcBorders/>
            <w:shd w:fill="EDEDED" w:val="clear"/>
            <w:vAlign w:val="center"/>
          </w:tcPr>
          <w:p>
            <w:pPr>
              <w:pStyle w:val="TableContents"/>
              <w:bidi w:val="0"/>
              <w:spacing w:before="0" w:after="283"/>
              <w:jc w:val="left"/>
              <w:rPr/>
            </w:pPr>
            <w:r>
              <w:rPr/>
              <w:t>  </w:t>
            </w:r>
          </w:p>
        </w:tc>
        <w:tc>
          <w:tcPr>
            <w:tcW w:w="560" w:type="dxa"/>
            <w:tcBorders/>
            <w:shd w:fill="EDEDED" w:val="clear"/>
            <w:vAlign w:val="center"/>
          </w:tcPr>
          <w:p>
            <w:pPr>
              <w:pStyle w:val="TableContents"/>
              <w:bidi w:val="0"/>
              <w:spacing w:before="0" w:after="283"/>
              <w:jc w:val="center"/>
              <w:rPr>
                <w:color w:val="191919"/>
              </w:rPr>
            </w:pPr>
            <w:r>
              <w:rPr>
                <w:color w:val="191919"/>
              </w:rPr>
              <w:t>1,544</w:t>
            </w:r>
          </w:p>
        </w:tc>
        <w:tc>
          <w:tcPr>
            <w:tcW w:w="12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center"/>
              <w:rPr>
                <w:color w:val="191919"/>
              </w:rPr>
            </w:pPr>
            <w:r>
              <w:rPr>
                <w:color w:val="191919"/>
              </w:rPr>
              <w:t> </w:t>
            </w:r>
            <w:r>
              <w:rPr>
                <w:color w:val="191919"/>
              </w:rPr>
              <w:t>3,088</w:t>
            </w:r>
          </w:p>
        </w:tc>
        <w:tc>
          <w:tcPr>
            <w:tcW w:w="120" w:type="dxa"/>
            <w:tcBorders/>
            <w:shd w:fill="EDEDED" w:val="clear"/>
            <w:vAlign w:val="center"/>
          </w:tcPr>
          <w:p>
            <w:pPr>
              <w:pStyle w:val="TableContents"/>
              <w:bidi w:val="0"/>
              <w:spacing w:before="0" w:after="283"/>
              <w:jc w:val="left"/>
              <w:rPr/>
            </w:pPr>
            <w:r>
              <w:rPr/>
              <w:t>  </w:t>
            </w:r>
          </w:p>
        </w:tc>
        <w:tc>
          <w:tcPr>
            <w:tcW w:w="72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662,067</w:t>
            </w:r>
          </w:p>
        </w:tc>
        <w:tc>
          <w:tcPr>
            <w:tcW w:w="230" w:type="dxa"/>
            <w:tcBorders/>
            <w:shd w:fill="EDEDED" w:val="clear"/>
            <w:vAlign w:val="center"/>
          </w:tcPr>
          <w:p>
            <w:pPr>
              <w:pStyle w:val="TableContents"/>
              <w:bidi w:val="0"/>
              <w:spacing w:before="0" w:after="283"/>
              <w:jc w:val="left"/>
              <w:rPr>
                <w:color w:val="191919"/>
              </w:rPr>
            </w:pPr>
            <w:r>
              <w:rPr>
                <w:color w:val="191919"/>
              </w:rPr>
              <w:t>(4) </w:t>
            </w:r>
          </w:p>
        </w:tc>
      </w:tr>
      <w:tr>
        <w:trPr/>
        <w:tc>
          <w:tcPr>
            <w:tcW w:w="965"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191919"/>
              </w:rPr>
            </w:pPr>
            <w:r>
              <w:rPr>
                <w:color w:val="191919"/>
              </w:rPr>
              <w:t> </w:t>
            </w:r>
          </w:p>
        </w:tc>
        <w:tc>
          <w:tcPr>
            <w:tcW w:w="1050" w:type="dxa"/>
            <w:tcBorders/>
            <w:shd w:fill="EDEDED" w:val="clear"/>
            <w:vAlign w:val="center"/>
          </w:tcPr>
          <w:p>
            <w:pPr>
              <w:pStyle w:val="TableContents"/>
              <w:bidi w:val="0"/>
              <w:spacing w:before="0" w:after="283"/>
              <w:jc w:val="right"/>
              <w:rPr>
                <w:color w:val="191919"/>
              </w:rPr>
            </w:pPr>
            <w:r>
              <w:rPr>
                <w:color w:val="191919"/>
              </w:rPr>
              <w:t>10/1/2025</w:t>
            </w:r>
          </w:p>
        </w:tc>
        <w:tc>
          <w:tcPr>
            <w:tcW w:w="215"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5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25" w:type="dxa"/>
            <w:tcBorders/>
            <w:shd w:fill="EDEDED" w:val="clear"/>
            <w:vAlign w:val="center"/>
          </w:tcPr>
          <w:p>
            <w:pPr>
              <w:pStyle w:val="TableContents"/>
              <w:bidi w:val="0"/>
              <w:spacing w:before="0" w:after="283"/>
              <w:jc w:val="center"/>
              <w:rPr>
                <w:color w:val="191919"/>
              </w:rPr>
            </w:pPr>
            <w:r>
              <w:rPr>
                <w:color w:val="191919"/>
              </w:rPr>
              <w:t>1,728(5)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435,802</w:t>
            </w:r>
          </w:p>
        </w:tc>
        <w:tc>
          <w:tcPr>
            <w:tcW w:w="230" w:type="dxa"/>
            <w:tcBorders/>
            <w:shd w:fill="EDEDED" w:val="clear"/>
            <w:vAlign w:val="center"/>
          </w:tcPr>
          <w:p>
            <w:pPr>
              <w:pStyle w:val="TableContents"/>
              <w:bidi w:val="0"/>
              <w:spacing w:before="0" w:after="283"/>
              <w:jc w:val="left"/>
              <w:rPr>
                <w:color w:val="191919"/>
              </w:rPr>
            </w:pPr>
            <w:r>
              <w:rPr>
                <w:color w:val="191919"/>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Jeff A. Underwood</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5/7/2025</w:t>
            </w:r>
          </w:p>
        </w:tc>
        <w:tc>
          <w:tcPr>
            <w:tcW w:w="215" w:type="dxa"/>
            <w:tcBorders/>
            <w:vAlign w:val="center"/>
          </w:tcPr>
          <w:p>
            <w:pPr>
              <w:pStyle w:val="TableContents"/>
              <w:bidi w:val="0"/>
              <w:spacing w:before="0" w:after="283"/>
              <w:jc w:val="left"/>
              <w:rPr>
                <w:color w:val="191919"/>
              </w:rPr>
            </w:pPr>
            <w:r>
              <w:rPr>
                <w:color w:val="191919"/>
              </w:rPr>
              <w:t>(3)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color w:val="191919"/>
              </w:rPr>
            </w:pPr>
            <w:r>
              <w:rPr>
                <w:color w:val="191919"/>
              </w:rPr>
              <w:t> </w:t>
            </w:r>
            <w:r>
              <w:rPr>
                <w:color w:val="191919"/>
              </w:rPr>
              <w:t>85,800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color w:val="191919"/>
              </w:rPr>
            </w:pPr>
            <w:r>
              <w:rPr>
                <w:color w:val="191919"/>
              </w:rPr>
              <w:t>  </w:t>
            </w:r>
            <w:r>
              <w:rPr>
                <w:color w:val="191919"/>
              </w:rPr>
              <w:t>286,000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color w:val="191919"/>
              </w:rPr>
            </w:pPr>
            <w:r>
              <w:rPr>
                <w:color w:val="191919"/>
              </w:rPr>
              <w:t>  </w:t>
            </w:r>
            <w:r>
              <w:rPr>
                <w:color w:val="191919"/>
              </w:rPr>
              <w:t>572,000</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5/7/2025</w:t>
            </w:r>
          </w:p>
        </w:tc>
        <w:tc>
          <w:tcPr>
            <w:tcW w:w="21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color w:val="191919"/>
              </w:rPr>
            </w:pPr>
            <w:r>
              <w:rPr>
                <w:color w:val="191919"/>
              </w:rPr>
              <w:t>  </w:t>
            </w:r>
            <w:r>
              <w:rPr>
                <w:color w:val="191919"/>
              </w:rPr>
              <w:t>542</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color w:val="191919"/>
              </w:rPr>
            </w:pPr>
            <w:r>
              <w:rPr>
                <w:color w:val="191919"/>
              </w:rPr>
              <w:t>1,083</w:t>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color w:val="191919"/>
              </w:rPr>
            </w:pPr>
            <w:r>
              <w:rPr>
                <w:color w:val="191919"/>
              </w:rPr>
              <w:t> </w:t>
            </w:r>
            <w:r>
              <w:rPr>
                <w:color w:val="191919"/>
              </w:rPr>
              <w:t>2,166</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464,390</w:t>
            </w:r>
          </w:p>
        </w:tc>
        <w:tc>
          <w:tcPr>
            <w:tcW w:w="230" w:type="dxa"/>
            <w:tcBorders/>
            <w:vAlign w:val="center"/>
          </w:tcPr>
          <w:p>
            <w:pPr>
              <w:pStyle w:val="TableContents"/>
              <w:bidi w:val="0"/>
              <w:spacing w:before="0" w:after="283"/>
              <w:jc w:val="left"/>
              <w:rPr>
                <w:color w:val="191919"/>
              </w:rPr>
            </w:pPr>
            <w:r>
              <w:rPr>
                <w:color w:val="191919"/>
              </w:rPr>
              <w:t>(4) </w:t>
            </w:r>
          </w:p>
        </w:tc>
      </w:tr>
      <w:tr>
        <w:trPr/>
        <w:tc>
          <w:tcPr>
            <w:tcW w:w="9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10/1/2025</w:t>
            </w:r>
          </w:p>
        </w:tc>
        <w:tc>
          <w:tcPr>
            <w:tcW w:w="21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color w:val="191919"/>
              </w:rPr>
            </w:pPr>
            <w:r>
              <w:rPr>
                <w:color w:val="191919"/>
              </w:rPr>
              <w:t>1,212(5)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305,666</w:t>
            </w:r>
          </w:p>
        </w:tc>
        <w:tc>
          <w:tcPr>
            <w:tcW w:w="230" w:type="dxa"/>
            <w:tcBorders/>
            <w:vAlign w:val="center"/>
          </w:tcPr>
          <w:p>
            <w:pPr>
              <w:pStyle w:val="TableContents"/>
              <w:bidi w:val="0"/>
              <w:spacing w:before="0" w:after="283"/>
              <w:jc w:val="left"/>
              <w:rPr>
                <w:color w:val="191919"/>
              </w:rPr>
            </w:pPr>
            <w:r>
              <w:rPr>
                <w:color w:val="191919"/>
              </w:rPr>
              <w:t> </w:t>
            </w:r>
          </w:p>
        </w:tc>
      </w:tr>
      <w:tr>
        <w:trPr/>
        <w:tc>
          <w:tcPr>
            <w:tcW w:w="965" w:type="dxa"/>
            <w:tcBorders/>
            <w:shd w:fill="EDEDED" w:val="clear"/>
            <w:vAlign w:val="center"/>
          </w:tcPr>
          <w:p>
            <w:pPr>
              <w:pStyle w:val="TableContents"/>
              <w:bidi w:val="0"/>
              <w:spacing w:before="0" w:after="283"/>
              <w:jc w:val="left"/>
              <w:rPr>
                <w:sz w:val="4"/>
                <w:szCs w:val="4"/>
              </w:rPr>
            </w:pPr>
            <w:r>
              <w:rPr>
                <w:sz w:val="4"/>
                <w:szCs w:val="4"/>
              </w:rPr>
            </w:r>
          </w:p>
        </w:tc>
        <w:tc>
          <w:tcPr>
            <w:tcW w:w="1510"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2"/>
            <w:tcBorders/>
            <w:shd w:fill="EDEDED" w:val="clear"/>
            <w:vAlign w:val="center"/>
          </w:tcPr>
          <w:p>
            <w:pPr>
              <w:pStyle w:val="TableContents"/>
              <w:bidi w:val="0"/>
              <w:spacing w:before="0" w:after="283"/>
              <w:jc w:val="left"/>
              <w:rPr>
                <w:sz w:val="4"/>
                <w:szCs w:val="4"/>
              </w:rPr>
            </w:pPr>
            <w:r>
              <w:rPr>
                <w:sz w:val="4"/>
                <w:szCs w:val="4"/>
              </w:rPr>
            </w:r>
          </w:p>
        </w:tc>
        <w:tc>
          <w:tcPr>
            <w:tcW w:w="1100" w:type="dxa"/>
            <w:gridSpan w:val="2"/>
            <w:tcBorders/>
            <w:shd w:fill="EDEDED" w:val="clear"/>
            <w:vAlign w:val="center"/>
          </w:tcPr>
          <w:p>
            <w:pPr>
              <w:pStyle w:val="TableContents"/>
              <w:bidi w:val="0"/>
              <w:spacing w:before="0" w:after="283"/>
              <w:jc w:val="left"/>
              <w:rPr>
                <w:sz w:val="4"/>
                <w:szCs w:val="4"/>
              </w:rPr>
            </w:pPr>
            <w:r>
              <w:rPr>
                <w:sz w:val="4"/>
                <w:szCs w:val="4"/>
              </w:rPr>
            </w:r>
          </w:p>
        </w:tc>
        <w:tc>
          <w:tcPr>
            <w:tcW w:w="110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680" w:type="dxa"/>
            <w:gridSpan w:val="2"/>
            <w:tcBorders/>
            <w:shd w:fill="EDEDED" w:val="clear"/>
            <w:vAlign w:val="center"/>
          </w:tcPr>
          <w:p>
            <w:pPr>
              <w:pStyle w:val="TableContents"/>
              <w:bidi w:val="0"/>
              <w:spacing w:before="0" w:after="283"/>
              <w:jc w:val="left"/>
              <w:rPr>
                <w:sz w:val="4"/>
                <w:szCs w:val="4"/>
              </w:rPr>
            </w:pPr>
            <w:r>
              <w:rPr>
                <w:sz w:val="4"/>
                <w:szCs w:val="4"/>
              </w:rPr>
            </w:r>
          </w:p>
        </w:tc>
        <w:tc>
          <w:tcPr>
            <w:tcW w:w="905" w:type="dxa"/>
            <w:gridSpan w:val="2"/>
            <w:tcBorders/>
            <w:shd w:fill="EDEDED" w:val="clear"/>
            <w:vAlign w:val="center"/>
          </w:tcPr>
          <w:p>
            <w:pPr>
              <w:pStyle w:val="TableContents"/>
              <w:bidi w:val="0"/>
              <w:spacing w:before="0" w:after="283"/>
              <w:jc w:val="left"/>
              <w:rPr>
                <w:sz w:val="4"/>
                <w:szCs w:val="4"/>
              </w:rPr>
            </w:pPr>
            <w:r>
              <w:rPr>
                <w:sz w:val="4"/>
                <w:szCs w:val="4"/>
              </w:rPr>
            </w:r>
          </w:p>
        </w:tc>
        <w:tc>
          <w:tcPr>
            <w:tcW w:w="845" w:type="dxa"/>
            <w:gridSpan w:val="2"/>
            <w:tcBorders/>
            <w:shd w:fill="EDEDED" w:val="clear"/>
            <w:vAlign w:val="center"/>
          </w:tcPr>
          <w:p>
            <w:pPr>
              <w:pStyle w:val="TableContents"/>
              <w:bidi w:val="0"/>
              <w:spacing w:before="0" w:after="283"/>
              <w:jc w:val="left"/>
              <w:rPr>
                <w:sz w:val="4"/>
                <w:szCs w:val="4"/>
              </w:rPr>
            </w:pPr>
            <w:r>
              <w:rPr>
                <w:sz w:val="4"/>
                <w:szCs w:val="4"/>
              </w:rPr>
            </w:r>
          </w:p>
        </w:tc>
        <w:tc>
          <w:tcPr>
            <w:tcW w:w="133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965" w:type="dxa"/>
            <w:vMerge w:val="restart"/>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Luke E. Alverson</w:t>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191919"/>
              </w:rPr>
            </w:pPr>
            <w:r>
              <w:rPr>
                <w:color w:val="191919"/>
              </w:rPr>
              <w:t> </w:t>
            </w:r>
          </w:p>
        </w:tc>
        <w:tc>
          <w:tcPr>
            <w:tcW w:w="1050" w:type="dxa"/>
            <w:tcBorders/>
            <w:shd w:fill="EDEDED" w:val="clear"/>
            <w:vAlign w:val="center"/>
          </w:tcPr>
          <w:p>
            <w:pPr>
              <w:pStyle w:val="TableContents"/>
              <w:bidi w:val="0"/>
              <w:spacing w:before="0" w:after="283"/>
              <w:jc w:val="right"/>
              <w:rPr>
                <w:color w:val="191919"/>
              </w:rPr>
            </w:pPr>
            <w:r>
              <w:rPr>
                <w:color w:val="191919"/>
              </w:rPr>
              <w:t>5/7/2025</w:t>
            </w:r>
          </w:p>
        </w:tc>
        <w:tc>
          <w:tcPr>
            <w:tcW w:w="215" w:type="dxa"/>
            <w:tcBorders/>
            <w:shd w:fill="EDEDED" w:val="clear"/>
            <w:vAlign w:val="center"/>
          </w:tcPr>
          <w:p>
            <w:pPr>
              <w:pStyle w:val="TableContents"/>
              <w:bidi w:val="0"/>
              <w:spacing w:before="0" w:after="283"/>
              <w:jc w:val="left"/>
              <w:rPr>
                <w:color w:val="191919"/>
              </w:rPr>
            </w:pPr>
            <w:r>
              <w:rPr>
                <w:color w:val="191919"/>
              </w:rPr>
              <w:t>(3) </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center"/>
              <w:rPr>
                <w:color w:val="191919"/>
              </w:rPr>
            </w:pPr>
            <w:r>
              <w:rPr>
                <w:color w:val="191919"/>
              </w:rPr>
              <w:t> </w:t>
            </w:r>
            <w:r>
              <w:rPr>
                <w:color w:val="191919"/>
              </w:rPr>
              <w:t>72,600</w:t>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center"/>
              <w:rPr>
                <w:color w:val="191919"/>
              </w:rPr>
            </w:pPr>
            <w:r>
              <w:rPr>
                <w:color w:val="191919"/>
              </w:rPr>
              <w:t>  </w:t>
            </w:r>
            <w:r>
              <w:rPr>
                <w:color w:val="191919"/>
              </w:rPr>
              <w:t>242,000</w:t>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center"/>
              <w:rPr>
                <w:color w:val="191919"/>
              </w:rPr>
            </w:pPr>
            <w:r>
              <w:rPr>
                <w:color w:val="191919"/>
              </w:rPr>
              <w:t>  </w:t>
            </w:r>
            <w:r>
              <w:rPr>
                <w:color w:val="191919"/>
              </w:rPr>
              <w:t>484,000</w:t>
            </w:r>
          </w:p>
        </w:tc>
        <w:tc>
          <w:tcPr>
            <w:tcW w:w="12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5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2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230" w:type="dxa"/>
            <w:tcBorders/>
            <w:shd w:fill="EDEDED" w:val="clear"/>
            <w:vAlign w:val="center"/>
          </w:tcPr>
          <w:p>
            <w:pPr>
              <w:pStyle w:val="TableContents"/>
              <w:bidi w:val="0"/>
              <w:spacing w:before="0" w:after="283"/>
              <w:jc w:val="left"/>
              <w:rPr>
                <w:sz w:val="4"/>
                <w:szCs w:val="4"/>
              </w:rPr>
            </w:pPr>
            <w:r>
              <w:rPr>
                <w:sz w:val="4"/>
                <w:szCs w:val="4"/>
              </w:rPr>
            </w:r>
          </w:p>
        </w:tc>
      </w:tr>
      <w:tr>
        <w:trPr/>
        <w:tc>
          <w:tcPr>
            <w:tcW w:w="965"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191919"/>
              </w:rPr>
            </w:pPr>
            <w:r>
              <w:rPr>
                <w:color w:val="191919"/>
              </w:rPr>
              <w:t> </w:t>
            </w:r>
          </w:p>
        </w:tc>
        <w:tc>
          <w:tcPr>
            <w:tcW w:w="1050" w:type="dxa"/>
            <w:tcBorders/>
            <w:shd w:fill="EDEDED" w:val="clear"/>
            <w:vAlign w:val="center"/>
          </w:tcPr>
          <w:p>
            <w:pPr>
              <w:pStyle w:val="TableContents"/>
              <w:bidi w:val="0"/>
              <w:spacing w:before="0" w:after="283"/>
              <w:jc w:val="right"/>
              <w:rPr>
                <w:color w:val="191919"/>
              </w:rPr>
            </w:pPr>
            <w:r>
              <w:rPr>
                <w:color w:val="191919"/>
              </w:rPr>
              <w:t>5/7/2025</w:t>
            </w:r>
          </w:p>
        </w:tc>
        <w:tc>
          <w:tcPr>
            <w:tcW w:w="215"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center"/>
              <w:rPr>
                <w:color w:val="191919"/>
              </w:rPr>
            </w:pPr>
            <w:r>
              <w:rPr>
                <w:color w:val="191919"/>
              </w:rPr>
              <w:t>  </w:t>
            </w:r>
            <w:r>
              <w:rPr>
                <w:color w:val="191919"/>
              </w:rPr>
              <w:t>448</w:t>
            </w:r>
          </w:p>
        </w:tc>
        <w:tc>
          <w:tcPr>
            <w:tcW w:w="120" w:type="dxa"/>
            <w:tcBorders/>
            <w:shd w:fill="EDEDED" w:val="clear"/>
            <w:vAlign w:val="center"/>
          </w:tcPr>
          <w:p>
            <w:pPr>
              <w:pStyle w:val="TableContents"/>
              <w:bidi w:val="0"/>
              <w:spacing w:before="0" w:after="283"/>
              <w:jc w:val="left"/>
              <w:rPr/>
            </w:pPr>
            <w:r>
              <w:rPr/>
              <w:t>  </w:t>
            </w:r>
          </w:p>
        </w:tc>
        <w:tc>
          <w:tcPr>
            <w:tcW w:w="560" w:type="dxa"/>
            <w:tcBorders/>
            <w:shd w:fill="EDEDED" w:val="clear"/>
            <w:vAlign w:val="center"/>
          </w:tcPr>
          <w:p>
            <w:pPr>
              <w:pStyle w:val="TableContents"/>
              <w:bidi w:val="0"/>
              <w:spacing w:before="0" w:after="283"/>
              <w:jc w:val="center"/>
              <w:rPr>
                <w:color w:val="191919"/>
              </w:rPr>
            </w:pPr>
            <w:r>
              <w:rPr>
                <w:color w:val="191919"/>
              </w:rPr>
              <w:t>  </w:t>
            </w:r>
            <w:r>
              <w:rPr>
                <w:color w:val="191919"/>
              </w:rPr>
              <w:t>896</w:t>
            </w:r>
          </w:p>
        </w:tc>
        <w:tc>
          <w:tcPr>
            <w:tcW w:w="12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center"/>
              <w:rPr>
                <w:color w:val="191919"/>
              </w:rPr>
            </w:pPr>
            <w:r>
              <w:rPr>
                <w:color w:val="191919"/>
              </w:rPr>
              <w:t> </w:t>
            </w:r>
            <w:r>
              <w:rPr>
                <w:color w:val="191919"/>
              </w:rPr>
              <w:t>1,792</w:t>
            </w:r>
          </w:p>
        </w:tc>
        <w:tc>
          <w:tcPr>
            <w:tcW w:w="120" w:type="dxa"/>
            <w:tcBorders/>
            <w:shd w:fill="EDEDED" w:val="clear"/>
            <w:vAlign w:val="center"/>
          </w:tcPr>
          <w:p>
            <w:pPr>
              <w:pStyle w:val="TableContents"/>
              <w:bidi w:val="0"/>
              <w:spacing w:before="0" w:after="283"/>
              <w:jc w:val="left"/>
              <w:rPr/>
            </w:pPr>
            <w:r>
              <w:rPr/>
              <w:t>  </w:t>
            </w:r>
          </w:p>
        </w:tc>
        <w:tc>
          <w:tcPr>
            <w:tcW w:w="72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384,205</w:t>
            </w:r>
          </w:p>
        </w:tc>
        <w:tc>
          <w:tcPr>
            <w:tcW w:w="230" w:type="dxa"/>
            <w:tcBorders/>
            <w:shd w:fill="EDEDED" w:val="clear"/>
            <w:vAlign w:val="center"/>
          </w:tcPr>
          <w:p>
            <w:pPr>
              <w:pStyle w:val="TableContents"/>
              <w:bidi w:val="0"/>
              <w:spacing w:before="0" w:after="283"/>
              <w:jc w:val="left"/>
              <w:rPr>
                <w:color w:val="191919"/>
              </w:rPr>
            </w:pPr>
            <w:r>
              <w:rPr>
                <w:color w:val="191919"/>
              </w:rPr>
              <w:t>(4) </w:t>
            </w:r>
          </w:p>
        </w:tc>
      </w:tr>
      <w:tr>
        <w:trPr/>
        <w:tc>
          <w:tcPr>
            <w:tcW w:w="965"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191919"/>
              </w:rPr>
            </w:pPr>
            <w:r>
              <w:rPr>
                <w:color w:val="191919"/>
              </w:rPr>
              <w:t> </w:t>
            </w:r>
          </w:p>
        </w:tc>
        <w:tc>
          <w:tcPr>
            <w:tcW w:w="1050" w:type="dxa"/>
            <w:tcBorders/>
            <w:shd w:fill="EDEDED" w:val="clear"/>
            <w:vAlign w:val="center"/>
          </w:tcPr>
          <w:p>
            <w:pPr>
              <w:pStyle w:val="TableContents"/>
              <w:bidi w:val="0"/>
              <w:spacing w:before="0" w:after="283"/>
              <w:jc w:val="right"/>
              <w:rPr>
                <w:color w:val="191919"/>
              </w:rPr>
            </w:pPr>
            <w:r>
              <w:rPr>
                <w:color w:val="191919"/>
              </w:rPr>
              <w:t>10/1/2025</w:t>
            </w:r>
          </w:p>
        </w:tc>
        <w:tc>
          <w:tcPr>
            <w:tcW w:w="215" w:type="dxa"/>
            <w:tcBorders/>
            <w:shd w:fill="EDEDED" w:val="clear"/>
            <w:vAlign w:val="center"/>
          </w:tcPr>
          <w:p>
            <w:pPr>
              <w:pStyle w:val="TableContents"/>
              <w:bidi w:val="0"/>
              <w:spacing w:before="0" w:after="283"/>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83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5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8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725" w:type="dxa"/>
            <w:tcBorders/>
            <w:shd w:fill="EDEDED" w:val="clear"/>
            <w:vAlign w:val="center"/>
          </w:tcPr>
          <w:p>
            <w:pPr>
              <w:pStyle w:val="TableContents"/>
              <w:bidi w:val="0"/>
              <w:spacing w:before="0" w:after="283"/>
              <w:jc w:val="center"/>
              <w:rPr>
                <w:color w:val="191919"/>
              </w:rPr>
            </w:pPr>
            <w:r>
              <w:rPr>
                <w:color w:val="191919"/>
              </w:rPr>
              <w:t>1,003(5)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252,957</w:t>
            </w:r>
          </w:p>
        </w:tc>
        <w:tc>
          <w:tcPr>
            <w:tcW w:w="230" w:type="dxa"/>
            <w:tcBorders/>
            <w:shd w:fill="EDEDED" w:val="clear"/>
            <w:vAlign w:val="center"/>
          </w:tcPr>
          <w:p>
            <w:pPr>
              <w:pStyle w:val="TableContents"/>
              <w:bidi w:val="0"/>
              <w:spacing w:before="0" w:after="283"/>
              <w:jc w:val="left"/>
              <w:rPr>
                <w:color w:val="191919"/>
              </w:rPr>
            </w:pPr>
            <w:r>
              <w:rPr>
                <w:color w:val="191919"/>
              </w:rPr>
              <w:t> </w:t>
            </w:r>
          </w:p>
        </w:tc>
      </w:tr>
      <w:tr>
        <w:trPr/>
        <w:tc>
          <w:tcPr>
            <w:tcW w:w="965"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bottom w:val="single" w:sz="6" w:space="0" w:color="7DB655"/>
            </w:tcBorders>
            <w:tcMar>
              <w:bottom w:w="8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Danielle R. Garde</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5/7/2025</w:t>
            </w:r>
          </w:p>
        </w:tc>
        <w:tc>
          <w:tcPr>
            <w:tcW w:w="215" w:type="dxa"/>
            <w:tcBorders/>
            <w:vAlign w:val="center"/>
          </w:tcPr>
          <w:p>
            <w:pPr>
              <w:pStyle w:val="TableContents"/>
              <w:bidi w:val="0"/>
              <w:spacing w:before="0" w:after="283"/>
              <w:jc w:val="left"/>
              <w:rPr>
                <w:color w:val="191919"/>
              </w:rPr>
            </w:pPr>
            <w:r>
              <w:rPr>
                <w:color w:val="191919"/>
              </w:rPr>
              <w:t>(3)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color w:val="191919"/>
              </w:rPr>
            </w:pPr>
            <w:r>
              <w:rPr>
                <w:color w:val="191919"/>
              </w:rPr>
              <w:t> </w:t>
            </w:r>
            <w:r>
              <w:rPr>
                <w:color w:val="191919"/>
              </w:rPr>
              <w:t>72,600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color w:val="191919"/>
              </w:rPr>
            </w:pPr>
            <w:r>
              <w:rPr>
                <w:color w:val="191919"/>
              </w:rPr>
              <w:t>  </w:t>
            </w:r>
            <w:r>
              <w:rPr>
                <w:color w:val="191919"/>
              </w:rPr>
              <w:t>242,000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color w:val="191919"/>
              </w:rPr>
            </w:pPr>
            <w:r>
              <w:rPr>
                <w:color w:val="191919"/>
              </w:rPr>
              <w:t>  </w:t>
            </w:r>
            <w:r>
              <w:rPr>
                <w:color w:val="191919"/>
              </w:rPr>
              <w:t>484,000</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65" w:type="dxa"/>
            <w:vMerge w:val="continue"/>
            <w:tcBorders>
              <w:bottom w:val="single" w:sz="6" w:space="0" w:color="7DB655"/>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191919"/>
              </w:rPr>
            </w:pPr>
            <w:r>
              <w:rPr>
                <w:color w:val="191919"/>
              </w:rPr>
              <w:t> </w:t>
            </w:r>
          </w:p>
        </w:tc>
        <w:tc>
          <w:tcPr>
            <w:tcW w:w="1050" w:type="dxa"/>
            <w:tcBorders/>
            <w:vAlign w:val="center"/>
          </w:tcPr>
          <w:p>
            <w:pPr>
              <w:pStyle w:val="TableContents"/>
              <w:bidi w:val="0"/>
              <w:spacing w:before="0" w:after="283"/>
              <w:jc w:val="right"/>
              <w:rPr>
                <w:color w:val="191919"/>
              </w:rPr>
            </w:pPr>
            <w:r>
              <w:rPr>
                <w:color w:val="191919"/>
              </w:rPr>
              <w:t>5/7/2025</w:t>
            </w:r>
          </w:p>
        </w:tc>
        <w:tc>
          <w:tcPr>
            <w:tcW w:w="215" w:type="dxa"/>
            <w:tcBorders/>
            <w:vAlign w:val="center"/>
          </w:tcPr>
          <w:p>
            <w:pPr>
              <w:pStyle w:val="TableContents"/>
              <w:bidi w:val="0"/>
              <w:spacing w:before="0" w:after="283"/>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color w:val="191919"/>
              </w:rPr>
            </w:pPr>
            <w:r>
              <w:rPr>
                <w:color w:val="191919"/>
              </w:rPr>
              <w:t>  </w:t>
            </w:r>
            <w:r>
              <w:rPr>
                <w:color w:val="191919"/>
              </w:rPr>
              <w:t>448</w:t>
            </w:r>
          </w:p>
        </w:tc>
        <w:tc>
          <w:tcPr>
            <w:tcW w:w="1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color w:val="191919"/>
              </w:rPr>
            </w:pPr>
            <w:r>
              <w:rPr>
                <w:color w:val="191919"/>
              </w:rPr>
              <w:t>  </w:t>
            </w:r>
            <w:r>
              <w:rPr>
                <w:color w:val="191919"/>
              </w:rPr>
              <w:t>896</w:t>
            </w:r>
          </w:p>
        </w:tc>
        <w:tc>
          <w:tcPr>
            <w:tcW w:w="12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color w:val="191919"/>
              </w:rPr>
            </w:pPr>
            <w:r>
              <w:rPr>
                <w:color w:val="191919"/>
              </w:rPr>
              <w:t> </w:t>
            </w:r>
            <w:r>
              <w:rPr>
                <w:color w:val="191919"/>
              </w:rPr>
              <w:t>1,792</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384,205</w:t>
            </w:r>
          </w:p>
        </w:tc>
        <w:tc>
          <w:tcPr>
            <w:tcW w:w="230" w:type="dxa"/>
            <w:tcBorders/>
            <w:vAlign w:val="center"/>
          </w:tcPr>
          <w:p>
            <w:pPr>
              <w:pStyle w:val="TableContents"/>
              <w:bidi w:val="0"/>
              <w:spacing w:before="0" w:after="283"/>
              <w:jc w:val="left"/>
              <w:rPr>
                <w:color w:val="191919"/>
              </w:rPr>
            </w:pPr>
            <w:r>
              <w:rPr>
                <w:color w:val="191919"/>
              </w:rPr>
              <w:t>(4) </w:t>
            </w:r>
          </w:p>
        </w:tc>
      </w:tr>
      <w:tr>
        <w:trPr/>
        <w:tc>
          <w:tcPr>
            <w:tcW w:w="965" w:type="dxa"/>
            <w:vMerge w:val="continue"/>
            <w:tcBorders>
              <w:bottom w:val="single" w:sz="6" w:space="0" w:color="7DB655"/>
            </w:tcBorders>
            <w:tcMar>
              <w:bottom w:w="80" w:type="dxa"/>
            </w:tcMar>
            <w:vAlign w:val="center"/>
          </w:tcPr>
          <w:p>
            <w:pPr>
              <w:pStyle w:val="Normal"/>
              <w:bidi w:val="0"/>
              <w:jc w:val="left"/>
              <w:rPr/>
            </w:pPr>
            <w:r>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25"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050" w:type="dxa"/>
            <w:tcBorders>
              <w:bottom w:val="single" w:sz="6" w:space="0" w:color="7DB655"/>
            </w:tcBorders>
            <w:tcMar>
              <w:bottom w:w="80" w:type="dxa"/>
            </w:tcMar>
            <w:vAlign w:val="center"/>
          </w:tcPr>
          <w:p>
            <w:pPr>
              <w:pStyle w:val="TableContents"/>
              <w:bidi w:val="0"/>
              <w:spacing w:before="0" w:after="283"/>
              <w:jc w:val="right"/>
              <w:rPr>
                <w:color w:val="191919"/>
              </w:rPr>
            </w:pPr>
            <w:r>
              <w:rPr>
                <w:color w:val="191919"/>
              </w:rPr>
              <w:t>10/1/2025</w:t>
            </w:r>
          </w:p>
        </w:tc>
        <w:tc>
          <w:tcPr>
            <w:tcW w:w="215"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30"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980"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980"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830"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560"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785"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725"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1,003(5)</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980" w:type="dxa"/>
            <w:tcBorders>
              <w:bottom w:val="single" w:sz="6" w:space="0" w:color="7DB655"/>
            </w:tcBorders>
            <w:tcMar>
              <w:bottom w:w="80" w:type="dxa"/>
            </w:tcMar>
            <w:vAlign w:val="center"/>
          </w:tcPr>
          <w:p>
            <w:pPr>
              <w:pStyle w:val="TableContents"/>
              <w:bidi w:val="0"/>
              <w:spacing w:before="0" w:after="283"/>
              <w:jc w:val="right"/>
              <w:rPr>
                <w:color w:val="191919"/>
              </w:rPr>
            </w:pPr>
            <w:r>
              <w:rPr>
                <w:color w:val="191919"/>
              </w:rPr>
              <w:t>252,957</w:t>
            </w:r>
          </w:p>
        </w:tc>
        <w:tc>
          <w:tcPr>
            <w:tcW w:w="230"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i/>
                <w:color w:val="191919"/>
              </w:rPr>
            </w:pPr>
            <w:r>
              <w:rPr>
                <w:i/>
                <w:color w:val="191919"/>
              </w:rPr>
              <w:t>(1)</w:t>
            </w:r>
          </w:p>
        </w:tc>
        <w:tc>
          <w:tcPr>
            <w:tcW w:w="995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number of shares listed represents long-term equity incentive awards in the form of performance shares granted under the Company’s LTIP. The performance criteria for these awards is based on the Company’s TSR from April 1, 2025 through March 31, 2028 compared to the TSR performance of the members of the Russell 2000 Index for the same period, as described in further detail under “Executive Compensation Program—Long-Term Equity Incentives—Performance Share Awards”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i/>
                <w:color w:val="191919"/>
              </w:rPr>
            </w:pPr>
            <w:r>
              <w:rPr>
                <w:i/>
                <w:color w:val="191919"/>
              </w:rPr>
              <w:t>(2)</w:t>
            </w:r>
          </w:p>
        </w:tc>
        <w:tc>
          <w:tcPr>
            <w:tcW w:w="9914"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amounts represent the fair value, as determined under FASB ASC Topic 718, of the awards based on the grant date fair value estimated by the Company for financial reporting purposes. </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5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23" descr=""/>
                          <pic:cNvPicPr>
                            <a:picLocks noChangeAspect="1" noChangeArrowheads="1"/>
                          </pic:cNvPicPr>
                        </pic:nvPicPr>
                        <pic:blipFill>
                          <a:blip r:embed="rId327"/>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2026 Grants of Plan-Based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i/>
                <w:color w:val="191919"/>
              </w:rPr>
            </w:pPr>
            <w:r>
              <w:rPr>
                <w:i/>
                <w:color w:val="191919"/>
              </w:rPr>
              <w:t>(3)</w:t>
            </w:r>
          </w:p>
        </w:tc>
        <w:tc>
          <w:tcPr>
            <w:tcW w:w="9954"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Under the AIP, the primary performance measures are internally defined metrics based on operating income, cash flow from operations, and achievement of individual performance objectives. See “Executive Compensation Program—Annual Incentive Program” above. Actual amounts payable under the AIP, if any, can range from 30% (Threshold) to 200% (Maximum) of the target amounts for the NEOs based upon the extent to which performance under the foregoing criteria meets, exceeds or is below the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i/>
                <w:color w:val="191919"/>
              </w:rPr>
            </w:pPr>
            <w:r>
              <w:rPr>
                <w:i/>
                <w:color w:val="191919"/>
              </w:rPr>
              <w:t>(4)</w:t>
            </w:r>
          </w:p>
        </w:tc>
        <w:tc>
          <w:tcPr>
            <w:tcW w:w="994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Represents the fair value on the date of grant, as described in footnote (2), of the performance shares awarded, which values were calculated using a fair value of $428.80 per share determined by using the Monte Carlo simulation. The actual value may be more or less depending on the Company’s TSR performance during the applicable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i/>
                <w:color w:val="191919"/>
              </w:rPr>
            </w:pPr>
            <w:r>
              <w:rPr>
                <w:i/>
                <w:color w:val="191919"/>
              </w:rPr>
              <w:t>(5)</w:t>
            </w:r>
          </w:p>
        </w:tc>
        <w:tc>
          <w:tcPr>
            <w:tcW w:w="993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amounts shown reflect the numbers of shares of restricted stock granted to each NEO pursuant to the Company’s 2024 Equity and Incentive Compensation Plan. The shares vest ratably over a three-year period on each anniversary of the date of grant. </w:t>
            </w:r>
          </w:p>
        </w:tc>
      </w:tr>
    </w:tbl>
    <w:p>
      <w:pPr>
        <w:pStyle w:val="TextBody"/>
        <w:bidi w:val="0"/>
        <w:spacing w:before="360" w:after="0"/>
        <w:jc w:val="left"/>
        <w:rPr>
          <w:rFonts w:ascii="Arial" w:hAnsi="Arial"/>
          <w:b/>
          <w:color w:val="7DB655"/>
          <w:sz w:val="30"/>
        </w:rPr>
      </w:pPr>
      <w:bookmarkStart w:id="41" w:name="txa136145_13a"/>
      <w:bookmarkStart w:id="42" w:name="toc36145_22a"/>
      <w:bookmarkEnd w:id="41"/>
      <w:bookmarkEnd w:id="42"/>
      <w:r>
        <w:rPr>
          <w:rFonts w:ascii="Arial" w:hAnsi="Arial"/>
          <w:b/>
          <w:color w:val="7DB655"/>
          <w:sz w:val="30"/>
        </w:rPr>
        <w:t xml:space="preserve">Outstanding Equity Awards at Year-End 2026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certain information with respect to outstanding equity awards held by each of the NEOs as of March 31, 2026, the last day of fiscal 2026. As of that date, no NEO had any outstanding stock option awards. </w:t>
      </w:r>
    </w:p>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520"/>
        <w:gridCol w:w="120"/>
        <w:gridCol w:w="1130"/>
        <w:gridCol w:w="60"/>
        <w:gridCol w:w="1445"/>
        <w:gridCol w:w="120"/>
        <w:gridCol w:w="1040"/>
        <w:gridCol w:w="60"/>
        <w:gridCol w:w="60"/>
        <w:gridCol w:w="98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95" w:type="dxa"/>
            <w:gridSpan w:val="8"/>
            <w:tcBorders>
              <w:bottom w:val="single" w:sz="2" w:space="0" w:color="7DB655"/>
            </w:tcBorders>
            <w:tcMar>
              <w:bottom w:w="40" w:type="dxa"/>
            </w:tcMar>
            <w:vAlign w:val="center"/>
          </w:tcPr>
          <w:p>
            <w:pPr>
              <w:pStyle w:val="TableContents"/>
              <w:bidi w:val="0"/>
              <w:spacing w:before="0" w:after="283"/>
              <w:jc w:val="center"/>
              <w:rPr>
                <w:b/>
                <w:color w:val="191919"/>
              </w:rPr>
            </w:pPr>
            <w:r>
              <w:rPr>
                <w:b/>
                <w:color w:val="191919"/>
              </w:rPr>
              <w:t>Stock Awards</w:t>
            </w:r>
          </w:p>
        </w:tc>
        <w:tc>
          <w:tcPr>
            <w:tcW w:w="75" w:type="dxa"/>
            <w:tcBorders/>
            <w:vAlign w:val="center"/>
          </w:tcPr>
          <w:p>
            <w:pPr>
              <w:pStyle w:val="TableContents"/>
              <w:bidi w:val="0"/>
              <w:spacing w:before="0" w:after="283"/>
              <w:jc w:val="left"/>
              <w:rPr/>
            </w:pPr>
            <w:r>
              <w:rPr/>
              <w:t> </w:t>
            </w:r>
          </w:p>
        </w:tc>
      </w:tr>
      <w:tr>
        <w:trPr/>
        <w:tc>
          <w:tcPr>
            <w:tcW w:w="152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5"/>
              </w:rPr>
            </w:pPr>
            <w:r>
              <w:rPr>
                <w:rFonts w:ascii="Arial" w:hAnsi="Arial"/>
                <w:b/>
                <w:color w:val="191919"/>
                <w:sz w:val="15"/>
              </w:rPr>
              <w:t>Name</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3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Number of</w:t>
              <w:br/>
              <w:t>Shares or</w:t>
              <w:br/>
              <w:t>Units of</w:t>
              <w:br/>
              <w:t>Stock that</w:t>
              <w:br/>
              <w:t>Have Not</w:t>
              <w:br/>
              <w:t>Vested</w:t>
              <w:br/>
              <w: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44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Market Value</w:t>
              <w:br/>
              <w:t>of Shares or</w:t>
              <w:br/>
              <w:t>Units of</w:t>
              <w:br/>
              <w:t>Stock that</w:t>
              <w:br/>
              <w:t>Have Not</w:t>
              <w:br/>
              <w:t>Vested</w:t>
              <w:br/>
              <w:t>($) (1)</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Equity</w:t>
              <w:br/>
              <w:t>Incentive</w:t>
              <w:br/>
              <w:t>Plan</w:t>
              <w:br/>
              <w:t>Awards:</w:t>
              <w:br/>
              <w:t>Unearned</w:t>
              <w:br/>
              <w:t>Shares,</w:t>
              <w:br/>
              <w:t>Units or</w:t>
              <w:br/>
              <w:t>Other</w:t>
              <w:br/>
              <w:t>Rights</w:t>
              <w:br/>
              <w:t>that Have</w:t>
              <w:br/>
              <w:t>Not</w:t>
              <w:br/>
              <w:t>Vested</w:t>
              <w:br/>
              <w:t>(#)</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191919"/>
                <w:sz w:val="15"/>
              </w:rPr>
            </w:pPr>
            <w:r>
              <w:rPr>
                <w:rFonts w:ascii="Arial" w:hAnsi="Arial"/>
                <w:b/>
                <w:color w:val="191919"/>
                <w:sz w:val="15"/>
              </w:rPr>
              <w:t>Equity</w:t>
              <w:br/>
              <w:t>Incentive</w:t>
              <w:br/>
              <w:t>Plan</w:t>
              <w:br/>
              <w:t>Awards:</w:t>
              <w:br/>
              <w:t>Market or</w:t>
              <w:br/>
              <w:t>Payout</w:t>
              <w:br/>
              <w:t>Value of</w:t>
              <w:br/>
              <w:t>Unearned</w:t>
              <w:br/>
              <w:t>Shares,</w:t>
              <w:br/>
              <w:t>Units or</w:t>
              <w:br/>
              <w:t>Other</w:t>
              <w:br/>
              <w:t>Rights that</w:t>
              <w:br/>
              <w:t>Have Not</w:t>
              <w:br/>
              <w:t>Vested</w:t>
              <w:br/>
              <w:t>($)(1)</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Joseph B. Armes</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11,051(2)</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color w:val="191919"/>
              </w:rPr>
            </w:pPr>
            <w:r>
              <w:rPr>
                <w:color w:val="191919"/>
              </w:rPr>
              <w:t>2,879,670</w:t>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18,783(3)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9,561,343</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31,496(4)</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color w:val="191919"/>
              </w:rPr>
            </w:pPr>
            <w:r>
              <w:rPr>
                <w:color w:val="191919"/>
              </w:rPr>
              <w:t>8,207,228</w:t>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12,569(5)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6,245,864</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20,130(6)</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color w:val="191919"/>
              </w:rPr>
            </w:pPr>
            <w:r>
              <w:rPr>
                <w:color w:val="191919"/>
              </w:rPr>
              <w:t>5,245,475</w:t>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8,297(7)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4,324,065</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8,029(8)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4,184,394</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160" w:type="dxa"/>
            <w:gridSpan w:val="2"/>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James E. Perry</w:t>
            </w:r>
          </w:p>
        </w:tc>
        <w:tc>
          <w:tcPr>
            <w:tcW w:w="12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center"/>
              <w:rPr>
                <w:color w:val="191919"/>
              </w:rPr>
            </w:pPr>
            <w:r>
              <w:rPr>
                <w:color w:val="191919"/>
              </w:rPr>
              <w:t> </w:t>
            </w:r>
            <w:r>
              <w:rPr>
                <w:color w:val="191919"/>
              </w:rPr>
              <w:t>3,407(9)</w:t>
            </w:r>
          </w:p>
        </w:tc>
        <w:tc>
          <w:tcPr>
            <w:tcW w:w="60" w:type="dxa"/>
            <w:tcBorders/>
            <w:shd w:fill="EDEDED" w:val="clear"/>
            <w:vAlign w:val="center"/>
          </w:tcPr>
          <w:p>
            <w:pPr>
              <w:pStyle w:val="TableContents"/>
              <w:bidi w:val="0"/>
              <w:spacing w:before="0" w:after="283"/>
              <w:jc w:val="left"/>
              <w:rPr/>
            </w:pPr>
            <w:r>
              <w:rPr/>
              <w:t> </w:t>
            </w:r>
          </w:p>
        </w:tc>
        <w:tc>
          <w:tcPr>
            <w:tcW w:w="1445" w:type="dxa"/>
            <w:tcBorders/>
            <w:shd w:fill="EDEDED" w:val="clear"/>
            <w:vAlign w:val="center"/>
          </w:tcPr>
          <w:p>
            <w:pPr>
              <w:pStyle w:val="TableContents"/>
              <w:bidi w:val="0"/>
              <w:spacing w:before="0" w:after="283"/>
              <w:jc w:val="center"/>
              <w:rPr>
                <w:color w:val="191919"/>
              </w:rPr>
            </w:pPr>
            <w:r>
              <w:rPr>
                <w:color w:val="191919"/>
              </w:rPr>
              <w:t>  </w:t>
            </w:r>
            <w:r>
              <w:rPr>
                <w:color w:val="191919"/>
              </w:rPr>
              <w:t>887,796</w:t>
            </w:r>
          </w:p>
        </w:tc>
        <w:tc>
          <w:tcPr>
            <w:tcW w:w="120" w:type="dxa"/>
            <w:tcBorders/>
            <w:shd w:fill="EDEDED" w:val="clear"/>
            <w:vAlign w:val="center"/>
          </w:tcPr>
          <w:p>
            <w:pPr>
              <w:pStyle w:val="TableContents"/>
              <w:bidi w:val="0"/>
              <w:spacing w:before="0" w:after="283"/>
              <w:jc w:val="left"/>
              <w:rPr/>
            </w:pPr>
            <w:r>
              <w:rPr/>
              <w:t>  </w:t>
            </w:r>
          </w:p>
        </w:tc>
        <w:tc>
          <w:tcPr>
            <w:tcW w:w="1040" w:type="dxa"/>
            <w:tcBorders/>
            <w:shd w:fill="EDEDED" w:val="clear"/>
            <w:vAlign w:val="center"/>
          </w:tcPr>
          <w:p>
            <w:pPr>
              <w:pStyle w:val="TableContents"/>
              <w:bidi w:val="0"/>
              <w:spacing w:before="0" w:after="283"/>
              <w:jc w:val="center"/>
              <w:rPr>
                <w:color w:val="191919"/>
              </w:rPr>
            </w:pPr>
            <w:r>
              <w:rPr>
                <w:color w:val="191919"/>
              </w:rPr>
              <w:t>3,079(5)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1,530,035</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160" w:type="dxa"/>
            <w:gridSpan w:val="2"/>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040" w:type="dxa"/>
            <w:tcBorders/>
            <w:shd w:fill="EDEDED" w:val="clear"/>
            <w:vAlign w:val="center"/>
          </w:tcPr>
          <w:p>
            <w:pPr>
              <w:pStyle w:val="TableContents"/>
              <w:bidi w:val="0"/>
              <w:spacing w:before="0" w:after="283"/>
              <w:jc w:val="center"/>
              <w:rPr>
                <w:color w:val="191919"/>
              </w:rPr>
            </w:pPr>
            <w:r>
              <w:rPr>
                <w:color w:val="191919"/>
              </w:rPr>
              <w:t>1,884(7)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981,865</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160" w:type="dxa"/>
            <w:gridSpan w:val="2"/>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040" w:type="dxa"/>
            <w:tcBorders/>
            <w:shd w:fill="EDEDED" w:val="clear"/>
            <w:vAlign w:val="center"/>
          </w:tcPr>
          <w:p>
            <w:pPr>
              <w:pStyle w:val="TableContents"/>
              <w:bidi w:val="0"/>
              <w:spacing w:before="0" w:after="283"/>
              <w:jc w:val="center"/>
              <w:rPr>
                <w:color w:val="191919"/>
              </w:rPr>
            </w:pPr>
            <w:r>
              <w:rPr>
                <w:color w:val="191919"/>
              </w:rPr>
              <w:t>1,550(8)</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807,798</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Jeff A. Underwood</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2,215(10)</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color w:val="191919"/>
              </w:rPr>
            </w:pPr>
            <w:r>
              <w:rPr>
                <w:color w:val="191919"/>
              </w:rPr>
              <w:t>  </w:t>
            </w:r>
            <w:r>
              <w:rPr>
                <w:color w:val="191919"/>
              </w:rPr>
              <w:t>577,185</w:t>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1,116(5)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554,569</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  </w:t>
            </w:r>
            <w:r>
              <w:rPr>
                <w:color w:val="191919"/>
              </w:rPr>
              <w:t>964(7)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502,398</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1,088(8)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567,022</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160" w:type="dxa"/>
            <w:gridSpan w:val="2"/>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Luke E. Alverson</w:t>
            </w:r>
          </w:p>
        </w:tc>
        <w:tc>
          <w:tcPr>
            <w:tcW w:w="12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center"/>
              <w:rPr>
                <w:color w:val="191919"/>
              </w:rPr>
            </w:pPr>
            <w:r>
              <w:rPr>
                <w:color w:val="191919"/>
              </w:rPr>
              <w:t>1,975(11)</w:t>
            </w:r>
          </w:p>
        </w:tc>
        <w:tc>
          <w:tcPr>
            <w:tcW w:w="60" w:type="dxa"/>
            <w:tcBorders/>
            <w:shd w:fill="EDEDED" w:val="clear"/>
            <w:vAlign w:val="center"/>
          </w:tcPr>
          <w:p>
            <w:pPr>
              <w:pStyle w:val="TableContents"/>
              <w:bidi w:val="0"/>
              <w:spacing w:before="0" w:after="283"/>
              <w:jc w:val="left"/>
              <w:rPr/>
            </w:pPr>
            <w:r>
              <w:rPr/>
              <w:t> </w:t>
            </w:r>
          </w:p>
        </w:tc>
        <w:tc>
          <w:tcPr>
            <w:tcW w:w="1445" w:type="dxa"/>
            <w:tcBorders/>
            <w:shd w:fill="EDEDED" w:val="clear"/>
            <w:vAlign w:val="center"/>
          </w:tcPr>
          <w:p>
            <w:pPr>
              <w:pStyle w:val="TableContents"/>
              <w:bidi w:val="0"/>
              <w:spacing w:before="0" w:after="283"/>
              <w:jc w:val="center"/>
              <w:rPr>
                <w:color w:val="191919"/>
              </w:rPr>
            </w:pPr>
            <w:r>
              <w:rPr>
                <w:color w:val="191919"/>
              </w:rPr>
              <w:t>  </w:t>
            </w:r>
            <w:r>
              <w:rPr>
                <w:color w:val="191919"/>
              </w:rPr>
              <w:t>514,646</w:t>
            </w:r>
          </w:p>
        </w:tc>
        <w:tc>
          <w:tcPr>
            <w:tcW w:w="120" w:type="dxa"/>
            <w:tcBorders/>
            <w:shd w:fill="EDEDED" w:val="clear"/>
            <w:vAlign w:val="center"/>
          </w:tcPr>
          <w:p>
            <w:pPr>
              <w:pStyle w:val="TableContents"/>
              <w:bidi w:val="0"/>
              <w:spacing w:before="0" w:after="283"/>
              <w:jc w:val="left"/>
              <w:rPr/>
            </w:pPr>
            <w:r>
              <w:rPr/>
              <w:t>  </w:t>
            </w:r>
          </w:p>
        </w:tc>
        <w:tc>
          <w:tcPr>
            <w:tcW w:w="1040" w:type="dxa"/>
            <w:tcBorders/>
            <w:shd w:fill="EDEDED" w:val="clear"/>
            <w:vAlign w:val="center"/>
          </w:tcPr>
          <w:p>
            <w:pPr>
              <w:pStyle w:val="TableContents"/>
              <w:bidi w:val="0"/>
              <w:spacing w:before="0" w:after="283"/>
              <w:jc w:val="center"/>
              <w:rPr>
                <w:color w:val="191919"/>
              </w:rPr>
            </w:pPr>
            <w:r>
              <w:rPr>
                <w:color w:val="191919"/>
              </w:rPr>
              <w:t>1,756(5)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872,602</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160" w:type="dxa"/>
            <w:gridSpan w:val="2"/>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040" w:type="dxa"/>
            <w:tcBorders/>
            <w:shd w:fill="EDEDED" w:val="clear"/>
            <w:vAlign w:val="center"/>
          </w:tcPr>
          <w:p>
            <w:pPr>
              <w:pStyle w:val="TableContents"/>
              <w:bidi w:val="0"/>
              <w:spacing w:before="0" w:after="283"/>
              <w:jc w:val="center"/>
              <w:rPr>
                <w:color w:val="191919"/>
              </w:rPr>
            </w:pPr>
            <w:r>
              <w:rPr>
                <w:color w:val="191919"/>
              </w:rPr>
              <w:t>1,104(7)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575,361</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160" w:type="dxa"/>
            <w:gridSpan w:val="2"/>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13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040" w:type="dxa"/>
            <w:tcBorders/>
            <w:shd w:fill="EDEDED" w:val="clear"/>
            <w:vAlign w:val="center"/>
          </w:tcPr>
          <w:p>
            <w:pPr>
              <w:pStyle w:val="TableContents"/>
              <w:bidi w:val="0"/>
              <w:spacing w:before="0" w:after="283"/>
              <w:jc w:val="center"/>
              <w:rPr>
                <w:color w:val="191919"/>
              </w:rPr>
            </w:pPr>
            <w:r>
              <w:rPr>
                <w:color w:val="191919"/>
              </w:rPr>
              <w:t>  </w:t>
            </w:r>
            <w:r>
              <w:rPr>
                <w:color w:val="191919"/>
              </w:rPr>
              <w:t>899(8)</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468,523</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Danielle R. Garde</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color w:val="191919"/>
              </w:rPr>
            </w:pPr>
            <w:r>
              <w:rPr>
                <w:color w:val="191919"/>
              </w:rPr>
              <w:t>1,952(12)</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color w:val="191919"/>
              </w:rPr>
            </w:pPr>
            <w:r>
              <w:rPr>
                <w:color w:val="191919"/>
              </w:rPr>
              <w:t>  </w:t>
            </w:r>
            <w:r>
              <w:rPr>
                <w:color w:val="191919"/>
              </w:rPr>
              <w:t>508,652</w:t>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1,664(5)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826,885</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color w:val="191919"/>
              </w:rPr>
            </w:pPr>
            <w:r>
              <w:rPr>
                <w:color w:val="191919"/>
              </w:rPr>
              <w:t>1,017(7)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530,020</w:t>
            </w:r>
          </w:p>
        </w:tc>
        <w:tc>
          <w:tcPr>
            <w:tcW w:w="75" w:type="dxa"/>
            <w:tcBorders/>
            <w:vAlign w:val="center"/>
          </w:tcPr>
          <w:p>
            <w:pPr>
              <w:pStyle w:val="TableContents"/>
              <w:bidi w:val="0"/>
              <w:spacing w:before="0" w:after="283"/>
              <w:jc w:val="left"/>
              <w:rPr>
                <w:color w:val="191919"/>
              </w:rPr>
            </w:pPr>
            <w:r>
              <w:rPr>
                <w:color w:val="191919"/>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13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445" w:type="dxa"/>
            <w:tcBorders>
              <w:bottom w:val="single" w:sz="6" w:space="0" w:color="7DB655"/>
            </w:tcBorders>
            <w:tcMar>
              <w:bottom w:w="28" w:type="dxa"/>
            </w:tcMar>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04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  </w:t>
            </w:r>
            <w:r>
              <w:rPr>
                <w:color w:val="191919"/>
              </w:rPr>
              <w:t>899(8)</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980" w:type="dxa"/>
            <w:tcBorders>
              <w:bottom w:val="single" w:sz="6" w:space="0" w:color="7DB655"/>
            </w:tcBorders>
            <w:tcMar>
              <w:bottom w:w="80" w:type="dxa"/>
            </w:tcMar>
            <w:vAlign w:val="center"/>
          </w:tcPr>
          <w:p>
            <w:pPr>
              <w:pStyle w:val="TableContents"/>
              <w:bidi w:val="0"/>
              <w:spacing w:before="0" w:after="283"/>
              <w:jc w:val="right"/>
              <w:rPr>
                <w:color w:val="191919"/>
              </w:rPr>
            </w:pPr>
            <w:r>
              <w:rPr>
                <w:color w:val="191919"/>
              </w:rPr>
              <w:t>468,523</w:t>
            </w:r>
          </w:p>
        </w:tc>
        <w:tc>
          <w:tcPr>
            <w:tcW w:w="75"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i/>
                <w:color w:val="191919"/>
              </w:rPr>
            </w:pPr>
            <w:r>
              <w:rPr>
                <w:i/>
                <w:color w:val="191919"/>
              </w:rPr>
              <w:t>(1)</w:t>
            </w:r>
          </w:p>
        </w:tc>
        <w:tc>
          <w:tcPr>
            <w:tcW w:w="992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Calculated using a price per share of $260.58, the closing market price of the Company’s common stock as reported by the NYSE on March 31, 2026, the last trading day before the end of the Company’s last completed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i/>
                <w:color w:val="191919"/>
              </w:rPr>
            </w:pPr>
            <w:r>
              <w:rPr>
                <w:i/>
                <w:color w:val="191919"/>
              </w:rPr>
              <w:t>(2)</w:t>
            </w:r>
          </w:p>
        </w:tc>
        <w:tc>
          <w:tcPr>
            <w:tcW w:w="9934"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Mr. Armes’ shares of restricted stock (all of which are part of the annual LTIP and not part of the fiscal 2022 CEO retention and succession arrangement) vest as follows: 5,708 shares on October 1, 2026; 3,353 shares on October 1, 2027; and 1,990 shares on October 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i/>
                <w:color w:val="191919"/>
              </w:rPr>
            </w:pPr>
            <w:r>
              <w:rPr>
                <w:i/>
                <w:color w:val="191919"/>
              </w:rPr>
              <w:t>(3)</w:t>
            </w:r>
          </w:p>
        </w:tc>
        <w:tc>
          <w:tcPr>
            <w:tcW w:w="996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shares represent long-term equity incentive awards in the form of performance shares under the Company’s LTIP granted as part of the fiscal 2022 CEO retention and succession arrangement, including accrued dividend equivalent units. The performance measure for these shares was based on the Company’s TSR over the period from April 1, 2021 through each of March 31, 2026 and 2027, compared to the TSRs of the members of the Russell 2000 Index for the same periods. Payouts range from 0% to a maximum of 200% of the shares granted. The reported value associated with the shares reflects a vesting of the March 31, 2026 tranche of performance shares at 200% effective April 1, 2026, and assumes vesting at 200% for the remaining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i/>
                <w:color w:val="191919"/>
              </w:rPr>
            </w:pPr>
            <w:r>
              <w:rPr>
                <w:i/>
                <w:color w:val="191919"/>
              </w:rPr>
              <w:t>(4)</w:t>
            </w:r>
          </w:p>
        </w:tc>
        <w:tc>
          <w:tcPr>
            <w:tcW w:w="9917"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shares represent shares of restricted stock under the Company’s LTIP granted as part of the fiscal 2022 CEO retention and succession arrangement. These shares cliff vested on April 26,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i/>
                <w:color w:val="191919"/>
              </w:rPr>
            </w:pPr>
            <w:r>
              <w:rPr>
                <w:i/>
                <w:color w:val="191919"/>
              </w:rPr>
              <w:t>(5)</w:t>
            </w:r>
          </w:p>
        </w:tc>
        <w:tc>
          <w:tcPr>
            <w:tcW w:w="995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shares represent long-term equity incentive awards in the form of performance shares under the Company’s annual LTIP, including accrued dividend equivalent units. The performance measure set for this plan was based on the Company’s TSR over the period from April 1, 2023 through March 31, 2026 compared to the TSRs of the members of the Russell 2000 Index for the same period. Payouts ranged from 0% to a maximum of 200% of the shares granted. The number of shares reported vested at 190.7% of shares granted effective March 31, 2026, and the associated value reported reflects this vesting percentage. </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5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24" descr=""/>
                          <pic:cNvPicPr>
                            <a:picLocks noChangeAspect="1" noChangeArrowheads="1"/>
                          </pic:cNvPicPr>
                        </pic:nvPicPr>
                        <pic:blipFill>
                          <a:blip r:embed="rId328"/>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Outstanding Equity Awards at Year-End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i/>
                <w:color w:val="191919"/>
              </w:rPr>
            </w:pPr>
            <w:r>
              <w:rPr>
                <w:i/>
                <w:color w:val="191919"/>
              </w:rPr>
              <w:t>(6)</w:t>
            </w:r>
          </w:p>
        </w:tc>
        <w:tc>
          <w:tcPr>
            <w:tcW w:w="9952"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shares represent restricted stock units under the Company’s LTIP granted as part of the fiscal 2022 CEO retention and succession arrangement, including accrued dividend equivalent rights. 40% of the shares will vest after a successor CEO is successfully recruited and hired, and 60% of the shares will vest upon the successful first employment anniversary of the successor CEO. The amount shown assumes full satisfaction of the associated performance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i/>
                <w:color w:val="191919"/>
              </w:rPr>
            </w:pPr>
            <w:r>
              <w:rPr>
                <w:i/>
                <w:color w:val="191919"/>
              </w:rPr>
              <w:t>(7)</w:t>
            </w:r>
          </w:p>
        </w:tc>
        <w:tc>
          <w:tcPr>
            <w:tcW w:w="9954"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shares represent long-term equity incentive awards in the form of performance shares under the Company’s annual LTIP, including accrued dividend equivalent units. The performance measure for this plan is based on the Company’s TSR over the period from April 1, 2024 through March 31, 2027 compared to the TSRs of the members of the Russell 2000 Index for the same period. Payouts can range from 0% to a maximum of 200% of the shares granted. The reported value associated with the shares assumes vesting at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i/>
                <w:color w:val="191919"/>
              </w:rPr>
            </w:pPr>
            <w:r>
              <w:rPr>
                <w:i/>
                <w:color w:val="191919"/>
              </w:rPr>
              <w:t>(8)</w:t>
            </w:r>
          </w:p>
        </w:tc>
        <w:tc>
          <w:tcPr>
            <w:tcW w:w="9954"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shares represent long-term equity incentive awards in the form of performance shares under the Company’s annual LTIP, including accrued dividend equivalent units. The performance measure for this plan is based on the Company’s TSR over the period from April 1, 2025 through March 31, 2028 compared to the TSRs of the members of the Russell 2000 Index for the same period. Payouts can range from 0% to a maximum of 200% of the shares granted. The reported value associated with the shares assumes vesting at 200%.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i/>
                <w:color w:val="191919"/>
              </w:rPr>
            </w:pPr>
            <w:r>
              <w:rPr>
                <w:i/>
                <w:color w:val="191919"/>
              </w:rPr>
              <w:t>(9)</w:t>
            </w:r>
          </w:p>
        </w:tc>
        <w:tc>
          <w:tcPr>
            <w:tcW w:w="990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Mr. Perry’s shares of restricted stock vest as follows: 1,792 shares on October 1, 2026; 1,039 shares on October 1, 2027; and 576 shares on October 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i/>
                <w:color w:val="191919"/>
              </w:rPr>
            </w:pPr>
            <w:r>
              <w:rPr>
                <w:i/>
                <w:color w:val="191919"/>
              </w:rPr>
              <w:t>(10)</w:t>
            </w:r>
          </w:p>
        </w:tc>
        <w:tc>
          <w:tcPr>
            <w:tcW w:w="9784"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Mr. Underwood’s shares of restricted stock vest as follows: 1,086 shares on October 1, 2026; 785 shares on October 1, 2027; and 404 shares on October 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2"/>
        <w:gridCol w:w="9783"/>
      </w:tblGrid>
      <w:tr>
        <w:trPr/>
        <w:tc>
          <w:tcPr>
            <w:tcW w:w="422" w:type="dxa"/>
            <w:tcBorders/>
            <w:vAlign w:val="center"/>
          </w:tcPr>
          <w:p>
            <w:pPr>
              <w:pStyle w:val="TableContents"/>
              <w:bidi w:val="0"/>
              <w:spacing w:before="0" w:after="283"/>
              <w:jc w:val="left"/>
              <w:rPr>
                <w:i/>
                <w:color w:val="191919"/>
              </w:rPr>
            </w:pPr>
            <w:r>
              <w:rPr>
                <w:i/>
                <w:color w:val="191919"/>
              </w:rPr>
              <w:t>(11)</w:t>
            </w:r>
          </w:p>
        </w:tc>
        <w:tc>
          <w:tcPr>
            <w:tcW w:w="978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Mr. Alverson’s shares of restricted stock vest as follows: 1,036 shares on October 1, 2026; 605 shares on October 1, 2027; and 334 shares on October 1, 2028.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3"/>
        <w:gridCol w:w="9782"/>
      </w:tblGrid>
      <w:tr>
        <w:trPr/>
        <w:tc>
          <w:tcPr>
            <w:tcW w:w="423" w:type="dxa"/>
            <w:tcBorders/>
            <w:vAlign w:val="center"/>
          </w:tcPr>
          <w:p>
            <w:pPr>
              <w:pStyle w:val="TableContents"/>
              <w:bidi w:val="0"/>
              <w:spacing w:before="0" w:after="283"/>
              <w:jc w:val="left"/>
              <w:rPr>
                <w:i/>
                <w:color w:val="191919"/>
              </w:rPr>
            </w:pPr>
            <w:r>
              <w:rPr>
                <w:i/>
                <w:color w:val="191919"/>
              </w:rPr>
              <w:t>(12)</w:t>
            </w:r>
          </w:p>
        </w:tc>
        <w:tc>
          <w:tcPr>
            <w:tcW w:w="9782"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Ms. Garde’s shares of restricted stock vest as follows: 1,013 shares on October 1, 2026; 605 shares on October 1, 2027; and 334 shares on October 1, 2028. </w:t>
            </w:r>
          </w:p>
        </w:tc>
      </w:tr>
    </w:tbl>
    <w:p>
      <w:pPr>
        <w:pStyle w:val="TextBody"/>
        <w:bidi w:val="0"/>
        <w:spacing w:before="360" w:after="0"/>
        <w:jc w:val="left"/>
        <w:rPr>
          <w:rFonts w:ascii="Arial" w:hAnsi="Arial"/>
          <w:b/>
          <w:color w:val="7DB655"/>
          <w:sz w:val="30"/>
        </w:rPr>
      </w:pPr>
      <w:bookmarkStart w:id="43" w:name="toc36145_23a"/>
      <w:bookmarkStart w:id="44" w:name="txa136145_14"/>
      <w:bookmarkEnd w:id="43"/>
      <w:bookmarkEnd w:id="44"/>
      <w:r>
        <w:rPr>
          <w:rFonts w:ascii="Arial" w:hAnsi="Arial"/>
          <w:b/>
          <w:color w:val="7DB655"/>
          <w:sz w:val="30"/>
        </w:rPr>
        <w:t xml:space="preserve">2026 Option Exercises and Stock Vested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certain information with respect to restricted stock vesting during the fiscal year ended March 31, 2026, with respect to the NEOs. The Company does not grant stock options or stock appreciation rights. </w:t>
      </w:r>
    </w:p>
    <w:p>
      <w:pPr>
        <w:pStyle w:val="TextBody"/>
        <w:bidi w:val="0"/>
        <w:spacing w:before="0" w:after="0"/>
        <w:jc w:val="left"/>
        <w:rPr/>
      </w:pPr>
      <w:r>
        <w:rPr/>
        <w:t> </w:t>
      </w:r>
    </w:p>
    <w:tbl>
      <w:tblPr>
        <w:tblW w:w="5251" w:type="dxa"/>
        <w:jc w:val="left"/>
        <w:tblInd w:w="0" w:type="dxa"/>
        <w:tblLayout w:type="fixed"/>
        <w:tblCellMar>
          <w:top w:w="0" w:type="dxa"/>
          <w:left w:w="0" w:type="dxa"/>
          <w:bottom w:w="0" w:type="dxa"/>
          <w:right w:w="0" w:type="dxa"/>
        </w:tblCellMar>
      </w:tblPr>
      <w:tblGrid>
        <w:gridCol w:w="1520"/>
        <w:gridCol w:w="23"/>
        <w:gridCol w:w="62"/>
        <w:gridCol w:w="161"/>
        <w:gridCol w:w="1834"/>
        <w:gridCol w:w="63"/>
        <w:gridCol w:w="23"/>
        <w:gridCol w:w="29"/>
        <w:gridCol w:w="76"/>
        <w:gridCol w:w="1409"/>
        <w:gridCol w:w="51"/>
      </w:tblGrid>
      <w:tr>
        <w:trPr/>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3708" w:type="dxa"/>
            <w:gridSpan w:val="9"/>
            <w:tcBorders>
              <w:bottom w:val="single" w:sz="2" w:space="0" w:color="7DB655"/>
            </w:tcBorders>
            <w:tcMar>
              <w:bottom w:w="40" w:type="dxa"/>
            </w:tcMar>
            <w:vAlign w:val="center"/>
          </w:tcPr>
          <w:p>
            <w:pPr>
              <w:pStyle w:val="TableContents"/>
              <w:bidi w:val="0"/>
              <w:spacing w:before="0" w:after="283"/>
              <w:jc w:val="center"/>
              <w:rPr>
                <w:b/>
                <w:color w:val="191919"/>
              </w:rPr>
            </w:pPr>
            <w:r>
              <w:rPr>
                <w:b/>
                <w:color w:val="191919"/>
              </w:rPr>
              <w:t>Stock Awards</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w:t>
            </w:r>
          </w:p>
        </w:tc>
        <w:tc>
          <w:tcPr>
            <w:tcW w:w="23" w:type="dxa"/>
            <w:tcBorders>
              <w:bottom w:val="single" w:sz="5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2120"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Number of Shares</w:t>
              <w:br/>
              <w:t>Acquired on Vesting</w:t>
              <w:br/>
              <w:t>(#)(1)</w:t>
            </w:r>
          </w:p>
        </w:tc>
        <w:tc>
          <w:tcPr>
            <w:tcW w:w="23" w:type="dxa"/>
            <w:tcBorders>
              <w:bottom w:val="single" w:sz="5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56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Value Realized</w:t>
              <w:br/>
              <w:t>on Vesting</w:t>
              <w:br/>
              <w:t>($)(2)</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Joseph B. Armes</w:t>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color w:val="191919"/>
              </w:rPr>
            </w:pPr>
            <w:r>
              <w:rPr>
                <w:color w:val="191919"/>
              </w:rPr>
              <w:t> </w:t>
            </w:r>
          </w:p>
        </w:tc>
        <w:tc>
          <w:tcPr>
            <w:tcW w:w="1834" w:type="dxa"/>
            <w:tcBorders/>
            <w:vAlign w:val="center"/>
          </w:tcPr>
          <w:p>
            <w:pPr>
              <w:pStyle w:val="TableContents"/>
              <w:bidi w:val="0"/>
              <w:spacing w:before="0" w:after="283"/>
              <w:jc w:val="center"/>
              <w:rPr>
                <w:color w:val="191919"/>
              </w:rPr>
            </w:pPr>
            <w:r>
              <w:rPr>
                <w:color w:val="191919"/>
              </w:rPr>
              <w:t>40,683</w:t>
            </w:r>
          </w:p>
        </w:tc>
        <w:tc>
          <w:tcPr>
            <w:tcW w:w="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191919"/>
              </w:rPr>
            </w:pPr>
            <w:r>
              <w:rPr>
                <w:color w:val="191919"/>
              </w:rPr>
              <w:t> </w:t>
            </w:r>
          </w:p>
        </w:tc>
        <w:tc>
          <w:tcPr>
            <w:tcW w:w="1409" w:type="dxa"/>
            <w:tcBorders/>
            <w:vAlign w:val="center"/>
          </w:tcPr>
          <w:p>
            <w:pPr>
              <w:pStyle w:val="TableContents"/>
              <w:bidi w:val="0"/>
              <w:spacing w:before="0" w:after="283"/>
              <w:jc w:val="center"/>
              <w:rPr>
                <w:color w:val="191919"/>
              </w:rPr>
            </w:pPr>
            <w:r>
              <w:rPr>
                <w:color w:val="191919"/>
              </w:rPr>
              <w:t>11,750,326</w:t>
            </w:r>
          </w:p>
        </w:tc>
        <w:tc>
          <w:tcPr>
            <w:tcW w:w="51"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2143" w:type="dxa"/>
            <w:gridSpan w:val="5"/>
            <w:tcBorders/>
            <w:shd w:fill="EDEDED" w:val="clear"/>
            <w:vAlign w:val="center"/>
          </w:tcPr>
          <w:p>
            <w:pPr>
              <w:pStyle w:val="TableContents"/>
              <w:bidi w:val="0"/>
              <w:spacing w:before="0" w:after="283"/>
              <w:jc w:val="left"/>
              <w:rPr>
                <w:sz w:val="4"/>
                <w:szCs w:val="4"/>
              </w:rPr>
            </w:pPr>
            <w:r>
              <w:rPr>
                <w:sz w:val="4"/>
                <w:szCs w:val="4"/>
              </w:rPr>
            </w:r>
          </w:p>
        </w:tc>
        <w:tc>
          <w:tcPr>
            <w:tcW w:w="158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James E. Perry</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2" w:type="dxa"/>
            <w:tcBorders/>
            <w:shd w:fill="EDEDED" w:val="clear"/>
            <w:vAlign w:val="center"/>
          </w:tcPr>
          <w:p>
            <w:pPr>
              <w:pStyle w:val="TableContents"/>
              <w:bidi w:val="0"/>
              <w:spacing w:before="0" w:after="283"/>
              <w:jc w:val="left"/>
              <w:rPr>
                <w:sz w:val="4"/>
                <w:szCs w:val="4"/>
              </w:rPr>
            </w:pPr>
            <w:r>
              <w:rPr>
                <w:sz w:val="4"/>
                <w:szCs w:val="4"/>
              </w:rPr>
            </w:r>
          </w:p>
        </w:tc>
        <w:tc>
          <w:tcPr>
            <w:tcW w:w="161" w:type="dxa"/>
            <w:tcBorders/>
            <w:shd w:fill="EDEDED" w:val="clear"/>
            <w:vAlign w:val="center"/>
          </w:tcPr>
          <w:p>
            <w:pPr>
              <w:pStyle w:val="TableContents"/>
              <w:bidi w:val="0"/>
              <w:spacing w:before="0" w:after="283"/>
              <w:jc w:val="left"/>
              <w:rPr>
                <w:color w:val="191919"/>
              </w:rPr>
            </w:pPr>
            <w:r>
              <w:rPr>
                <w:color w:val="191919"/>
              </w:rPr>
              <w:t> </w:t>
            </w:r>
          </w:p>
        </w:tc>
        <w:tc>
          <w:tcPr>
            <w:tcW w:w="1834" w:type="dxa"/>
            <w:tcBorders/>
            <w:shd w:fill="EDEDED" w:val="clear"/>
            <w:vAlign w:val="center"/>
          </w:tcPr>
          <w:p>
            <w:pPr>
              <w:pStyle w:val="TableContents"/>
              <w:bidi w:val="0"/>
              <w:spacing w:before="0" w:after="283"/>
              <w:jc w:val="center"/>
              <w:rPr>
                <w:color w:val="191919"/>
              </w:rPr>
            </w:pPr>
            <w:r>
              <w:rPr>
                <w:color w:val="191919"/>
              </w:rPr>
              <w:t> </w:t>
            </w:r>
            <w:r>
              <w:rPr>
                <w:color w:val="191919"/>
              </w:rPr>
              <w:t>8,465</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color w:val="191919"/>
              </w:rPr>
            </w:pPr>
            <w:r>
              <w:rPr>
                <w:color w:val="191919"/>
              </w:rPr>
              <w:t> </w:t>
            </w:r>
          </w:p>
        </w:tc>
        <w:tc>
          <w:tcPr>
            <w:tcW w:w="1409" w:type="dxa"/>
            <w:tcBorders/>
            <w:shd w:fill="EDEDED" w:val="clear"/>
            <w:vAlign w:val="center"/>
          </w:tcPr>
          <w:p>
            <w:pPr>
              <w:pStyle w:val="TableContents"/>
              <w:bidi w:val="0"/>
              <w:spacing w:before="0" w:after="283"/>
              <w:jc w:val="center"/>
              <w:rPr>
                <w:color w:val="191919"/>
              </w:rPr>
            </w:pPr>
            <w:r>
              <w:rPr>
                <w:color w:val="191919"/>
              </w:rPr>
              <w:t> </w:t>
            </w:r>
            <w:r>
              <w:rPr>
                <w:color w:val="191919"/>
              </w:rPr>
              <w:t>2,396,521</w:t>
            </w:r>
          </w:p>
        </w:tc>
        <w:tc>
          <w:tcPr>
            <w:tcW w:w="51" w:type="dxa"/>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Jeff A. Underwood</w:t>
            </w:r>
          </w:p>
        </w:tc>
        <w:tc>
          <w:tcPr>
            <w:tcW w:w="2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color w:val="191919"/>
              </w:rPr>
            </w:pPr>
            <w:r>
              <w:rPr>
                <w:color w:val="191919"/>
              </w:rPr>
              <w:t> </w:t>
            </w:r>
          </w:p>
        </w:tc>
        <w:tc>
          <w:tcPr>
            <w:tcW w:w="1834" w:type="dxa"/>
            <w:tcBorders/>
            <w:vAlign w:val="center"/>
          </w:tcPr>
          <w:p>
            <w:pPr>
              <w:pStyle w:val="TableContents"/>
              <w:bidi w:val="0"/>
              <w:spacing w:before="0" w:after="283"/>
              <w:jc w:val="center"/>
              <w:rPr>
                <w:color w:val="191919"/>
              </w:rPr>
            </w:pPr>
            <w:r>
              <w:rPr>
                <w:color w:val="191919"/>
              </w:rPr>
              <w:t> </w:t>
            </w:r>
            <w:r>
              <w:rPr>
                <w:color w:val="191919"/>
              </w:rPr>
              <w:t>2,909</w:t>
            </w:r>
          </w:p>
        </w:tc>
        <w:tc>
          <w:tcPr>
            <w:tcW w:w="6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color w:val="191919"/>
              </w:rPr>
            </w:pPr>
            <w:r>
              <w:rPr>
                <w:color w:val="191919"/>
              </w:rPr>
              <w:t> </w:t>
            </w:r>
          </w:p>
        </w:tc>
        <w:tc>
          <w:tcPr>
            <w:tcW w:w="1409" w:type="dxa"/>
            <w:tcBorders/>
            <w:vAlign w:val="center"/>
          </w:tcPr>
          <w:p>
            <w:pPr>
              <w:pStyle w:val="TableContents"/>
              <w:bidi w:val="0"/>
              <w:spacing w:before="0" w:after="283"/>
              <w:jc w:val="center"/>
              <w:rPr>
                <w:color w:val="191919"/>
              </w:rPr>
            </w:pPr>
            <w:r>
              <w:rPr>
                <w:color w:val="191919"/>
              </w:rPr>
              <w:t>   </w:t>
            </w:r>
            <w:r>
              <w:rPr>
                <w:color w:val="191919"/>
              </w:rPr>
              <w:t>808,831</w:t>
            </w:r>
          </w:p>
        </w:tc>
        <w:tc>
          <w:tcPr>
            <w:tcW w:w="51"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2143" w:type="dxa"/>
            <w:gridSpan w:val="5"/>
            <w:tcBorders/>
            <w:shd w:fill="EDEDED" w:val="clear"/>
            <w:vAlign w:val="center"/>
          </w:tcPr>
          <w:p>
            <w:pPr>
              <w:pStyle w:val="TableContents"/>
              <w:bidi w:val="0"/>
              <w:spacing w:before="0" w:after="283"/>
              <w:jc w:val="left"/>
              <w:rPr>
                <w:sz w:val="4"/>
                <w:szCs w:val="4"/>
              </w:rPr>
            </w:pPr>
            <w:r>
              <w:rPr>
                <w:sz w:val="4"/>
                <w:szCs w:val="4"/>
              </w:rPr>
            </w:r>
          </w:p>
        </w:tc>
        <w:tc>
          <w:tcPr>
            <w:tcW w:w="158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Luke E. Alverson</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2" w:type="dxa"/>
            <w:tcBorders/>
            <w:shd w:fill="EDEDED" w:val="clear"/>
            <w:vAlign w:val="center"/>
          </w:tcPr>
          <w:p>
            <w:pPr>
              <w:pStyle w:val="TableContents"/>
              <w:bidi w:val="0"/>
              <w:spacing w:before="0" w:after="283"/>
              <w:jc w:val="left"/>
              <w:rPr>
                <w:sz w:val="4"/>
                <w:szCs w:val="4"/>
              </w:rPr>
            </w:pPr>
            <w:r>
              <w:rPr>
                <w:sz w:val="4"/>
                <w:szCs w:val="4"/>
              </w:rPr>
            </w:r>
          </w:p>
        </w:tc>
        <w:tc>
          <w:tcPr>
            <w:tcW w:w="161" w:type="dxa"/>
            <w:tcBorders/>
            <w:shd w:fill="EDEDED" w:val="clear"/>
            <w:vAlign w:val="center"/>
          </w:tcPr>
          <w:p>
            <w:pPr>
              <w:pStyle w:val="TableContents"/>
              <w:bidi w:val="0"/>
              <w:spacing w:before="0" w:after="283"/>
              <w:jc w:val="left"/>
              <w:rPr>
                <w:color w:val="191919"/>
              </w:rPr>
            </w:pPr>
            <w:r>
              <w:rPr>
                <w:color w:val="191919"/>
              </w:rPr>
              <w:t> </w:t>
            </w:r>
          </w:p>
        </w:tc>
        <w:tc>
          <w:tcPr>
            <w:tcW w:w="1834" w:type="dxa"/>
            <w:tcBorders/>
            <w:shd w:fill="EDEDED" w:val="clear"/>
            <w:vAlign w:val="center"/>
          </w:tcPr>
          <w:p>
            <w:pPr>
              <w:pStyle w:val="TableContents"/>
              <w:bidi w:val="0"/>
              <w:spacing w:before="0" w:after="283"/>
              <w:jc w:val="center"/>
              <w:rPr>
                <w:color w:val="191919"/>
              </w:rPr>
            </w:pPr>
            <w:r>
              <w:rPr>
                <w:color w:val="191919"/>
              </w:rPr>
              <w:t> </w:t>
            </w:r>
            <w:r>
              <w:rPr>
                <w:color w:val="191919"/>
              </w:rPr>
              <w:t>4,298</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76" w:type="dxa"/>
            <w:tcBorders/>
            <w:shd w:fill="EDEDED" w:val="clear"/>
            <w:vAlign w:val="center"/>
          </w:tcPr>
          <w:p>
            <w:pPr>
              <w:pStyle w:val="TableContents"/>
              <w:bidi w:val="0"/>
              <w:spacing w:before="0" w:after="283"/>
              <w:jc w:val="left"/>
              <w:rPr>
                <w:color w:val="191919"/>
              </w:rPr>
            </w:pPr>
            <w:r>
              <w:rPr>
                <w:color w:val="191919"/>
              </w:rPr>
              <w:t> </w:t>
            </w:r>
          </w:p>
        </w:tc>
        <w:tc>
          <w:tcPr>
            <w:tcW w:w="1409" w:type="dxa"/>
            <w:tcBorders/>
            <w:shd w:fill="EDEDED" w:val="clear"/>
            <w:vAlign w:val="center"/>
          </w:tcPr>
          <w:p>
            <w:pPr>
              <w:pStyle w:val="TableContents"/>
              <w:bidi w:val="0"/>
              <w:spacing w:before="0" w:after="283"/>
              <w:jc w:val="center"/>
              <w:rPr>
                <w:color w:val="191919"/>
              </w:rPr>
            </w:pPr>
            <w:r>
              <w:rPr>
                <w:color w:val="191919"/>
              </w:rPr>
              <w:t> </w:t>
            </w:r>
            <w:r>
              <w:rPr>
                <w:color w:val="191919"/>
              </w:rPr>
              <w:t>1,217,358</w:t>
            </w:r>
          </w:p>
        </w:tc>
        <w:tc>
          <w:tcPr>
            <w:tcW w:w="51" w:type="dxa"/>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2143" w:type="dxa"/>
            <w:gridSpan w:val="5"/>
            <w:tcBorders/>
            <w:vAlign w:val="center"/>
          </w:tcPr>
          <w:p>
            <w:pPr>
              <w:pStyle w:val="TableContents"/>
              <w:bidi w:val="0"/>
              <w:spacing w:before="0" w:after="283"/>
              <w:jc w:val="left"/>
              <w:rPr>
                <w:sz w:val="4"/>
                <w:szCs w:val="4"/>
              </w:rPr>
            </w:pPr>
            <w:r>
              <w:rPr>
                <w:sz w:val="4"/>
                <w:szCs w:val="4"/>
              </w:rPr>
            </w:r>
          </w:p>
        </w:tc>
        <w:tc>
          <w:tcPr>
            <w:tcW w:w="1588"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7DB655"/>
            </w:tcBorders>
            <w:tcMar>
              <w:bottom w:w="8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Danielle R. Garde</w:t>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62"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61"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834"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 </w:t>
            </w:r>
            <w:r>
              <w:rPr>
                <w:color w:val="191919"/>
              </w:rPr>
              <w:t>1,223</w:t>
            </w:r>
          </w:p>
        </w:tc>
        <w:tc>
          <w:tcPr>
            <w:tcW w:w="63"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29"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409"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   </w:t>
            </w:r>
            <w:r>
              <w:rPr>
                <w:color w:val="191919"/>
              </w:rPr>
              <w:t>308,440</w:t>
            </w:r>
          </w:p>
        </w:tc>
        <w:tc>
          <w:tcPr>
            <w:tcW w:w="51"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i/>
                <w:color w:val="191919"/>
              </w:rPr>
            </w:pPr>
            <w:r>
              <w:rPr>
                <w:i/>
                <w:color w:val="191919"/>
              </w:rPr>
              <w:t>(1)</w:t>
            </w:r>
          </w:p>
        </w:tc>
        <w:tc>
          <w:tcPr>
            <w:tcW w:w="9909"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number of shares reported includes shares that were surrendered during the fiscal year ended March 31, 2026, to satisfy taxes upon the vesting of restricted stock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color w:val="191919"/>
              </w:rPr>
            </w:pPr>
            <w:r>
              <w:rPr>
                <w:i/>
                <w:color w:val="191919"/>
              </w:rPr>
              <w:t>(2)</w:t>
            </w:r>
          </w:p>
        </w:tc>
        <w:tc>
          <w:tcPr>
            <w:tcW w:w="993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Reflects the gross number of shares acquired on vesting multiplied by the closing market price of the Company’s common stock on the vesting date. Includes the value of shares surrendered to satisfy taxes upon the vesting of restricted stock awards. </w:t>
            </w:r>
          </w:p>
        </w:tc>
      </w:tr>
    </w:tbl>
    <w:p>
      <w:pPr>
        <w:pStyle w:val="TextBody"/>
        <w:bidi w:val="0"/>
        <w:spacing w:before="360" w:after="0"/>
        <w:jc w:val="left"/>
        <w:rPr>
          <w:rFonts w:ascii="Arial" w:hAnsi="Arial"/>
          <w:b/>
          <w:color w:val="7DB655"/>
          <w:sz w:val="30"/>
        </w:rPr>
      </w:pPr>
      <w:bookmarkStart w:id="45" w:name="toc36145_24a"/>
      <w:bookmarkStart w:id="46" w:name="txa136145_15"/>
      <w:bookmarkEnd w:id="45"/>
      <w:bookmarkEnd w:id="46"/>
      <w:r>
        <w:rPr>
          <w:rFonts w:ascii="Arial" w:hAnsi="Arial"/>
          <w:b/>
          <w:color w:val="7DB655"/>
          <w:sz w:val="30"/>
        </w:rPr>
        <w:t xml:space="preserve">2026 Pension Benefits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certain information as of March 31, 2026, with respect to pension benefits attributable to our NEOs. Please refer to “Executive Compensation Program—Legacy Pension Plans” above for a narrative description of our pension plans. </w:t>
      </w:r>
    </w:p>
    <w:p>
      <w:pPr>
        <w:pStyle w:val="TextBody"/>
        <w:bidi w:val="0"/>
        <w:spacing w:before="0" w:after="0"/>
        <w:jc w:val="left"/>
        <w:rPr/>
      </w:pPr>
      <w:r>
        <w:rPr/>
        <w:t> </w:t>
      </w:r>
    </w:p>
    <w:tbl>
      <w:tblPr>
        <w:tblW w:w="9493" w:type="dxa"/>
        <w:jc w:val="left"/>
        <w:tblInd w:w="0" w:type="dxa"/>
        <w:tblLayout w:type="fixed"/>
        <w:tblCellMar>
          <w:top w:w="0" w:type="dxa"/>
          <w:left w:w="0" w:type="dxa"/>
          <w:bottom w:w="0" w:type="dxa"/>
          <w:right w:w="0" w:type="dxa"/>
        </w:tblCellMar>
      </w:tblPr>
      <w:tblGrid>
        <w:gridCol w:w="1520"/>
        <w:gridCol w:w="23"/>
        <w:gridCol w:w="23"/>
        <w:gridCol w:w="60"/>
        <w:gridCol w:w="1580"/>
        <w:gridCol w:w="23"/>
        <w:gridCol w:w="23"/>
        <w:gridCol w:w="72"/>
        <w:gridCol w:w="188"/>
        <w:gridCol w:w="1382"/>
        <w:gridCol w:w="73"/>
        <w:gridCol w:w="23"/>
        <w:gridCol w:w="54"/>
        <w:gridCol w:w="142"/>
        <w:gridCol w:w="1898"/>
        <w:gridCol w:w="56"/>
        <w:gridCol w:w="23"/>
        <w:gridCol w:w="140"/>
        <w:gridCol w:w="366"/>
        <w:gridCol w:w="1590"/>
        <w:gridCol w:w="234"/>
      </w:tblGrid>
      <w:tr>
        <w:trPr/>
        <w:tc>
          <w:tcPr>
            <w:tcW w:w="15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w:t>
            </w:r>
          </w:p>
        </w:tc>
        <w:tc>
          <w:tcPr>
            <w:tcW w:w="23" w:type="dxa"/>
            <w:tcBorders>
              <w:bottom w:val="single" w:sz="5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686"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Plan Name(1)</w:t>
            </w:r>
          </w:p>
        </w:tc>
        <w:tc>
          <w:tcPr>
            <w:tcW w:w="23" w:type="dxa"/>
            <w:tcBorders>
              <w:bottom w:val="single" w:sz="5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715"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Years of</w:t>
              <w:br/>
              <w:t>Credited Service</w:t>
              <w:br/>
              <w:t>(#)</w:t>
            </w:r>
          </w:p>
        </w:tc>
        <w:tc>
          <w:tcPr>
            <w:tcW w:w="23" w:type="dxa"/>
            <w:tcBorders>
              <w:bottom w:val="single" w:sz="5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2150"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Present Value of</w:t>
              <w:br/>
              <w:t>Accumulated Benefit</w:t>
              <w:br/>
              <w:t>($)</w:t>
            </w:r>
          </w:p>
        </w:tc>
        <w:tc>
          <w:tcPr>
            <w:tcW w:w="23" w:type="dxa"/>
            <w:tcBorders>
              <w:bottom w:val="single" w:sz="5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2330"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Payments During Last</w:t>
              <w:br/>
              <w:t>Fiscal Year</w:t>
              <w:br/>
              <w:t>($)</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709"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Joseph B. Armes</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191919"/>
              </w:rPr>
            </w:pPr>
            <w:r>
              <w:rPr>
                <w:color w:val="191919"/>
              </w:rPr>
              <w:t> </w:t>
            </w:r>
          </w:p>
        </w:tc>
        <w:tc>
          <w:tcPr>
            <w:tcW w:w="1580" w:type="dxa"/>
            <w:tcBorders/>
            <w:vAlign w:val="center"/>
          </w:tcPr>
          <w:p>
            <w:pPr>
              <w:pStyle w:val="TableContents"/>
              <w:bidi w:val="0"/>
              <w:spacing w:before="0" w:after="283"/>
              <w:jc w:val="center"/>
              <w:rPr>
                <w:color w:val="191919"/>
              </w:rPr>
            </w:pPr>
            <w:r>
              <w:rPr>
                <w:color w:val="191919"/>
              </w:rPr>
              <w:t>Restoration Plan</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olor w:val="191919"/>
              </w:rPr>
            </w:pPr>
            <w:r>
              <w:rPr>
                <w:color w:val="191919"/>
              </w:rPr>
              <w:t> </w:t>
            </w:r>
          </w:p>
        </w:tc>
        <w:tc>
          <w:tcPr>
            <w:tcW w:w="1382" w:type="dxa"/>
            <w:tcBorders/>
            <w:vAlign w:val="center"/>
          </w:tcPr>
          <w:p>
            <w:pPr>
              <w:pStyle w:val="TableContents"/>
              <w:bidi w:val="0"/>
              <w:spacing w:before="0" w:after="283"/>
              <w:jc w:val="center"/>
              <w:rPr>
                <w:color w:val="191919"/>
              </w:rPr>
            </w:pPr>
            <w:r>
              <w:rPr>
                <w:color w:val="191919"/>
              </w:rPr>
              <w:t>2.25</w:t>
            </w:r>
          </w:p>
        </w:tc>
        <w:tc>
          <w:tcPr>
            <w:tcW w:w="7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color w:val="191919"/>
              </w:rPr>
            </w:pPr>
            <w:r>
              <w:rPr>
                <w:color w:val="191919"/>
              </w:rPr>
              <w:t> </w:t>
            </w:r>
          </w:p>
        </w:tc>
        <w:tc>
          <w:tcPr>
            <w:tcW w:w="1898" w:type="dxa"/>
            <w:tcBorders/>
            <w:vAlign w:val="center"/>
          </w:tcPr>
          <w:p>
            <w:pPr>
              <w:pStyle w:val="TableContents"/>
              <w:bidi w:val="0"/>
              <w:spacing w:before="0" w:after="283"/>
              <w:jc w:val="center"/>
              <w:rPr>
                <w:color w:val="191919"/>
              </w:rPr>
            </w:pPr>
            <w:r>
              <w:rPr>
                <w:color w:val="191919"/>
              </w:rPr>
              <w:t>106,975</w:t>
            </w:r>
          </w:p>
        </w:tc>
        <w:tc>
          <w:tcPr>
            <w:tcW w:w="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color w:val="191919"/>
              </w:rPr>
            </w:pPr>
            <w:r>
              <w:rPr>
                <w:color w:val="191919"/>
              </w:rPr>
              <w:t> </w:t>
            </w:r>
          </w:p>
        </w:tc>
        <w:tc>
          <w:tcPr>
            <w:tcW w:w="1590" w:type="dxa"/>
            <w:tcBorders/>
            <w:vAlign w:val="center"/>
          </w:tcPr>
          <w:p>
            <w:pPr>
              <w:pStyle w:val="TableContents"/>
              <w:bidi w:val="0"/>
              <w:spacing w:before="0" w:after="283"/>
              <w:jc w:val="center"/>
              <w:rPr>
                <w:color w:val="191919"/>
              </w:rPr>
            </w:pPr>
            <w:r>
              <w:rPr>
                <w:color w:val="191919"/>
              </w:rPr>
              <w:t>—</w:t>
            </w:r>
          </w:p>
        </w:tc>
        <w:tc>
          <w:tcPr>
            <w:tcW w:w="234"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709" w:type="dxa"/>
            <w:gridSpan w:val="5"/>
            <w:tcBorders/>
            <w:shd w:fill="EDEDED" w:val="clear"/>
            <w:vAlign w:val="center"/>
          </w:tcPr>
          <w:p>
            <w:pPr>
              <w:pStyle w:val="TableContents"/>
              <w:bidi w:val="0"/>
              <w:spacing w:before="0" w:after="283"/>
              <w:jc w:val="left"/>
              <w:rPr>
                <w:sz w:val="4"/>
                <w:szCs w:val="4"/>
              </w:rPr>
            </w:pPr>
            <w:r>
              <w:rPr>
                <w:sz w:val="4"/>
                <w:szCs w:val="4"/>
              </w:rPr>
            </w:r>
          </w:p>
        </w:tc>
        <w:tc>
          <w:tcPr>
            <w:tcW w:w="1738" w:type="dxa"/>
            <w:gridSpan w:val="5"/>
            <w:tcBorders/>
            <w:shd w:fill="EDEDED" w:val="clear"/>
            <w:vAlign w:val="center"/>
          </w:tcPr>
          <w:p>
            <w:pPr>
              <w:pStyle w:val="TableContents"/>
              <w:bidi w:val="0"/>
              <w:spacing w:before="0" w:after="283"/>
              <w:jc w:val="left"/>
              <w:rPr>
                <w:sz w:val="4"/>
                <w:szCs w:val="4"/>
              </w:rPr>
            </w:pPr>
            <w:r>
              <w:rPr>
                <w:sz w:val="4"/>
                <w:szCs w:val="4"/>
              </w:rPr>
            </w:r>
          </w:p>
        </w:tc>
        <w:tc>
          <w:tcPr>
            <w:tcW w:w="2173" w:type="dxa"/>
            <w:gridSpan w:val="5"/>
            <w:tcBorders/>
            <w:shd w:fill="EDEDED" w:val="clear"/>
            <w:vAlign w:val="center"/>
          </w:tcPr>
          <w:p>
            <w:pPr>
              <w:pStyle w:val="TableContents"/>
              <w:bidi w:val="0"/>
              <w:spacing w:before="0" w:after="283"/>
              <w:jc w:val="left"/>
              <w:rPr>
                <w:sz w:val="4"/>
                <w:szCs w:val="4"/>
              </w:rPr>
            </w:pPr>
            <w:r>
              <w:rPr>
                <w:sz w:val="4"/>
                <w:szCs w:val="4"/>
              </w:rPr>
            </w:r>
          </w:p>
        </w:tc>
        <w:tc>
          <w:tcPr>
            <w:tcW w:w="2353"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James E. Perry</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580" w:type="dxa"/>
            <w:tcBorders/>
            <w:shd w:fill="EDEDED" w:val="clear"/>
            <w:vAlign w:val="center"/>
          </w:tcPr>
          <w:p>
            <w:pPr>
              <w:pStyle w:val="TableContents"/>
              <w:bidi w:val="0"/>
              <w:spacing w:before="0" w:after="283"/>
              <w:jc w:val="center"/>
              <w:rPr>
                <w:color w:val="191919"/>
              </w:rPr>
            </w:pPr>
            <w:r>
              <w:rPr>
                <w:color w:val="191919"/>
              </w:rPr>
              <w:t>—</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72" w:type="dxa"/>
            <w:tcBorders/>
            <w:shd w:fill="EDEDED" w:val="clear"/>
            <w:vAlign w:val="center"/>
          </w:tcPr>
          <w:p>
            <w:pPr>
              <w:pStyle w:val="TableContents"/>
              <w:bidi w:val="0"/>
              <w:spacing w:before="0" w:after="283"/>
              <w:jc w:val="left"/>
              <w:rPr>
                <w:sz w:val="4"/>
                <w:szCs w:val="4"/>
              </w:rPr>
            </w:pPr>
            <w:r>
              <w:rPr>
                <w:sz w:val="4"/>
                <w:szCs w:val="4"/>
              </w:rPr>
            </w:r>
          </w:p>
        </w:tc>
        <w:tc>
          <w:tcPr>
            <w:tcW w:w="188" w:type="dxa"/>
            <w:tcBorders/>
            <w:shd w:fill="EDEDED" w:val="clear"/>
            <w:vAlign w:val="center"/>
          </w:tcPr>
          <w:p>
            <w:pPr>
              <w:pStyle w:val="TableContents"/>
              <w:bidi w:val="0"/>
              <w:spacing w:before="0" w:after="283"/>
              <w:jc w:val="left"/>
              <w:rPr>
                <w:color w:val="191919"/>
              </w:rPr>
            </w:pPr>
            <w:r>
              <w:rPr>
                <w:color w:val="191919"/>
              </w:rPr>
              <w:t> </w:t>
            </w:r>
          </w:p>
        </w:tc>
        <w:tc>
          <w:tcPr>
            <w:tcW w:w="1382" w:type="dxa"/>
            <w:tcBorders/>
            <w:shd w:fill="EDEDED" w:val="clear"/>
            <w:vAlign w:val="center"/>
          </w:tcPr>
          <w:p>
            <w:pPr>
              <w:pStyle w:val="TableContents"/>
              <w:bidi w:val="0"/>
              <w:spacing w:before="0" w:after="283"/>
              <w:jc w:val="center"/>
              <w:rPr>
                <w:color w:val="191919"/>
              </w:rPr>
            </w:pPr>
            <w:r>
              <w:rPr>
                <w:color w:val="191919"/>
              </w:rPr>
              <w:t>—</w:t>
            </w:r>
          </w:p>
        </w:tc>
        <w:tc>
          <w:tcPr>
            <w:tcW w:w="7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54" w:type="dxa"/>
            <w:tcBorders/>
            <w:shd w:fill="EDEDED" w:val="clear"/>
            <w:vAlign w:val="center"/>
          </w:tcPr>
          <w:p>
            <w:pPr>
              <w:pStyle w:val="TableContents"/>
              <w:bidi w:val="0"/>
              <w:spacing w:before="0" w:after="283"/>
              <w:jc w:val="left"/>
              <w:rPr>
                <w:sz w:val="4"/>
                <w:szCs w:val="4"/>
              </w:rPr>
            </w:pPr>
            <w:r>
              <w:rPr>
                <w:sz w:val="4"/>
                <w:szCs w:val="4"/>
              </w:rPr>
            </w:r>
          </w:p>
        </w:tc>
        <w:tc>
          <w:tcPr>
            <w:tcW w:w="142" w:type="dxa"/>
            <w:tcBorders/>
            <w:shd w:fill="EDEDED" w:val="clear"/>
            <w:vAlign w:val="center"/>
          </w:tcPr>
          <w:p>
            <w:pPr>
              <w:pStyle w:val="TableContents"/>
              <w:bidi w:val="0"/>
              <w:spacing w:before="0" w:after="283"/>
              <w:jc w:val="left"/>
              <w:rPr>
                <w:color w:val="191919"/>
              </w:rPr>
            </w:pPr>
            <w:r>
              <w:rPr>
                <w:color w:val="191919"/>
              </w:rPr>
              <w:t> </w:t>
            </w:r>
          </w:p>
        </w:tc>
        <w:tc>
          <w:tcPr>
            <w:tcW w:w="1898" w:type="dxa"/>
            <w:tcBorders/>
            <w:shd w:fill="EDEDED" w:val="clear"/>
            <w:vAlign w:val="center"/>
          </w:tcPr>
          <w:p>
            <w:pPr>
              <w:pStyle w:val="TableContents"/>
              <w:bidi w:val="0"/>
              <w:spacing w:before="0" w:after="283"/>
              <w:jc w:val="center"/>
              <w:rPr>
                <w:color w:val="191919"/>
              </w:rPr>
            </w:pPr>
            <w:r>
              <w:rPr>
                <w:color w:val="191919"/>
              </w:rPr>
              <w:t>—</w:t>
            </w:r>
          </w:p>
        </w:tc>
        <w:tc>
          <w:tcPr>
            <w:tcW w:w="56"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366" w:type="dxa"/>
            <w:tcBorders/>
            <w:shd w:fill="EDEDED" w:val="clear"/>
            <w:vAlign w:val="center"/>
          </w:tcPr>
          <w:p>
            <w:pPr>
              <w:pStyle w:val="TableContents"/>
              <w:bidi w:val="0"/>
              <w:spacing w:before="0" w:after="283"/>
              <w:jc w:val="left"/>
              <w:rPr>
                <w:color w:val="191919"/>
              </w:rPr>
            </w:pPr>
            <w:r>
              <w:rPr>
                <w:color w:val="191919"/>
              </w:rPr>
              <w:t> </w:t>
            </w:r>
          </w:p>
        </w:tc>
        <w:tc>
          <w:tcPr>
            <w:tcW w:w="1590" w:type="dxa"/>
            <w:tcBorders/>
            <w:shd w:fill="EDEDED" w:val="clear"/>
            <w:vAlign w:val="center"/>
          </w:tcPr>
          <w:p>
            <w:pPr>
              <w:pStyle w:val="TableContents"/>
              <w:bidi w:val="0"/>
              <w:spacing w:before="0" w:after="283"/>
              <w:jc w:val="center"/>
              <w:rPr>
                <w:color w:val="191919"/>
              </w:rPr>
            </w:pPr>
            <w:r>
              <w:rPr>
                <w:color w:val="191919"/>
              </w:rPr>
              <w:t>—</w:t>
            </w:r>
          </w:p>
        </w:tc>
        <w:tc>
          <w:tcPr>
            <w:tcW w:w="234" w:type="dxa"/>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709"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Jeff A. Underwood</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191919"/>
              </w:rPr>
            </w:pPr>
            <w:r>
              <w:rPr>
                <w:color w:val="191919"/>
              </w:rPr>
              <w:t> </w:t>
            </w:r>
          </w:p>
        </w:tc>
        <w:tc>
          <w:tcPr>
            <w:tcW w:w="1580" w:type="dxa"/>
            <w:tcBorders/>
            <w:vAlign w:val="center"/>
          </w:tcPr>
          <w:p>
            <w:pPr>
              <w:pStyle w:val="TableContents"/>
              <w:bidi w:val="0"/>
              <w:spacing w:before="0" w:after="283"/>
              <w:jc w:val="center"/>
              <w:rPr>
                <w:color w:val="191919"/>
              </w:rPr>
            </w:pPr>
            <w:r>
              <w:rPr>
                <w:color w:val="191919"/>
              </w:rPr>
              <w:t>—</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olor w:val="191919"/>
              </w:rPr>
            </w:pPr>
            <w:r>
              <w:rPr>
                <w:color w:val="191919"/>
              </w:rPr>
              <w:t> </w:t>
            </w:r>
          </w:p>
        </w:tc>
        <w:tc>
          <w:tcPr>
            <w:tcW w:w="1382" w:type="dxa"/>
            <w:tcBorders/>
            <w:vAlign w:val="center"/>
          </w:tcPr>
          <w:p>
            <w:pPr>
              <w:pStyle w:val="TableContents"/>
              <w:bidi w:val="0"/>
              <w:spacing w:before="0" w:after="283"/>
              <w:jc w:val="center"/>
              <w:rPr>
                <w:color w:val="191919"/>
              </w:rPr>
            </w:pPr>
            <w:r>
              <w:rPr>
                <w:color w:val="191919"/>
              </w:rPr>
              <w:t>—</w:t>
            </w:r>
          </w:p>
        </w:tc>
        <w:tc>
          <w:tcPr>
            <w:tcW w:w="7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5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color w:val="191919"/>
              </w:rPr>
            </w:pPr>
            <w:r>
              <w:rPr>
                <w:color w:val="191919"/>
              </w:rPr>
              <w:t> </w:t>
            </w:r>
          </w:p>
        </w:tc>
        <w:tc>
          <w:tcPr>
            <w:tcW w:w="1898" w:type="dxa"/>
            <w:tcBorders/>
            <w:vAlign w:val="center"/>
          </w:tcPr>
          <w:p>
            <w:pPr>
              <w:pStyle w:val="TableContents"/>
              <w:bidi w:val="0"/>
              <w:spacing w:before="0" w:after="283"/>
              <w:jc w:val="center"/>
              <w:rPr>
                <w:color w:val="191919"/>
              </w:rPr>
            </w:pPr>
            <w:r>
              <w:rPr>
                <w:color w:val="191919"/>
              </w:rPr>
              <w:t>—</w:t>
            </w:r>
          </w:p>
        </w:tc>
        <w:tc>
          <w:tcPr>
            <w:tcW w:w="5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color w:val="191919"/>
              </w:rPr>
            </w:pPr>
            <w:r>
              <w:rPr>
                <w:color w:val="191919"/>
              </w:rPr>
              <w:t> </w:t>
            </w:r>
          </w:p>
        </w:tc>
        <w:tc>
          <w:tcPr>
            <w:tcW w:w="1590" w:type="dxa"/>
            <w:tcBorders/>
            <w:vAlign w:val="center"/>
          </w:tcPr>
          <w:p>
            <w:pPr>
              <w:pStyle w:val="TableContents"/>
              <w:bidi w:val="0"/>
              <w:spacing w:before="0" w:after="283"/>
              <w:jc w:val="center"/>
              <w:rPr>
                <w:color w:val="191919"/>
              </w:rPr>
            </w:pPr>
            <w:r>
              <w:rPr>
                <w:color w:val="191919"/>
              </w:rPr>
              <w:t>—</w:t>
            </w:r>
          </w:p>
        </w:tc>
        <w:tc>
          <w:tcPr>
            <w:tcW w:w="234"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283"/>
              <w:jc w:val="left"/>
              <w:rPr>
                <w:sz w:val="4"/>
                <w:szCs w:val="4"/>
              </w:rPr>
            </w:pPr>
            <w:r>
              <w:rPr>
                <w:sz w:val="4"/>
                <w:szCs w:val="4"/>
              </w:rPr>
            </w:r>
          </w:p>
        </w:tc>
        <w:tc>
          <w:tcPr>
            <w:tcW w:w="1709" w:type="dxa"/>
            <w:gridSpan w:val="5"/>
            <w:tcBorders/>
            <w:shd w:fill="EDEDED" w:val="clear"/>
            <w:vAlign w:val="center"/>
          </w:tcPr>
          <w:p>
            <w:pPr>
              <w:pStyle w:val="TableContents"/>
              <w:bidi w:val="0"/>
              <w:spacing w:before="0" w:after="283"/>
              <w:jc w:val="left"/>
              <w:rPr>
                <w:sz w:val="4"/>
                <w:szCs w:val="4"/>
              </w:rPr>
            </w:pPr>
            <w:r>
              <w:rPr>
                <w:sz w:val="4"/>
                <w:szCs w:val="4"/>
              </w:rPr>
            </w:r>
          </w:p>
        </w:tc>
        <w:tc>
          <w:tcPr>
            <w:tcW w:w="1738" w:type="dxa"/>
            <w:gridSpan w:val="5"/>
            <w:tcBorders/>
            <w:shd w:fill="EDEDED" w:val="clear"/>
            <w:vAlign w:val="center"/>
          </w:tcPr>
          <w:p>
            <w:pPr>
              <w:pStyle w:val="TableContents"/>
              <w:bidi w:val="0"/>
              <w:spacing w:before="0" w:after="283"/>
              <w:jc w:val="left"/>
              <w:rPr>
                <w:sz w:val="4"/>
                <w:szCs w:val="4"/>
              </w:rPr>
            </w:pPr>
            <w:r>
              <w:rPr>
                <w:sz w:val="4"/>
                <w:szCs w:val="4"/>
              </w:rPr>
            </w:r>
          </w:p>
        </w:tc>
        <w:tc>
          <w:tcPr>
            <w:tcW w:w="2173" w:type="dxa"/>
            <w:gridSpan w:val="5"/>
            <w:tcBorders/>
            <w:shd w:fill="EDEDED" w:val="clear"/>
            <w:vAlign w:val="center"/>
          </w:tcPr>
          <w:p>
            <w:pPr>
              <w:pStyle w:val="TableContents"/>
              <w:bidi w:val="0"/>
              <w:spacing w:before="0" w:after="283"/>
              <w:jc w:val="left"/>
              <w:rPr>
                <w:sz w:val="4"/>
                <w:szCs w:val="4"/>
              </w:rPr>
            </w:pPr>
            <w:r>
              <w:rPr>
                <w:sz w:val="4"/>
                <w:szCs w:val="4"/>
              </w:rPr>
            </w:r>
          </w:p>
        </w:tc>
        <w:tc>
          <w:tcPr>
            <w:tcW w:w="2353"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Luke E. Alverson</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580" w:type="dxa"/>
            <w:tcBorders/>
            <w:shd w:fill="EDEDED" w:val="clear"/>
            <w:vAlign w:val="center"/>
          </w:tcPr>
          <w:p>
            <w:pPr>
              <w:pStyle w:val="TableContents"/>
              <w:bidi w:val="0"/>
              <w:spacing w:before="0" w:after="283"/>
              <w:jc w:val="center"/>
              <w:rPr>
                <w:color w:val="191919"/>
              </w:rPr>
            </w:pPr>
            <w:r>
              <w:rPr>
                <w:color w:val="191919"/>
              </w:rPr>
              <w:t>—</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72" w:type="dxa"/>
            <w:tcBorders/>
            <w:shd w:fill="EDEDED" w:val="clear"/>
            <w:vAlign w:val="center"/>
          </w:tcPr>
          <w:p>
            <w:pPr>
              <w:pStyle w:val="TableContents"/>
              <w:bidi w:val="0"/>
              <w:spacing w:before="0" w:after="283"/>
              <w:jc w:val="left"/>
              <w:rPr>
                <w:sz w:val="4"/>
                <w:szCs w:val="4"/>
              </w:rPr>
            </w:pPr>
            <w:r>
              <w:rPr>
                <w:sz w:val="4"/>
                <w:szCs w:val="4"/>
              </w:rPr>
            </w:r>
          </w:p>
        </w:tc>
        <w:tc>
          <w:tcPr>
            <w:tcW w:w="188" w:type="dxa"/>
            <w:tcBorders/>
            <w:shd w:fill="EDEDED" w:val="clear"/>
            <w:vAlign w:val="center"/>
          </w:tcPr>
          <w:p>
            <w:pPr>
              <w:pStyle w:val="TableContents"/>
              <w:bidi w:val="0"/>
              <w:spacing w:before="0" w:after="283"/>
              <w:jc w:val="left"/>
              <w:rPr>
                <w:color w:val="191919"/>
              </w:rPr>
            </w:pPr>
            <w:r>
              <w:rPr>
                <w:color w:val="191919"/>
              </w:rPr>
              <w:t> </w:t>
            </w:r>
          </w:p>
        </w:tc>
        <w:tc>
          <w:tcPr>
            <w:tcW w:w="1382" w:type="dxa"/>
            <w:tcBorders/>
            <w:shd w:fill="EDEDED" w:val="clear"/>
            <w:vAlign w:val="center"/>
          </w:tcPr>
          <w:p>
            <w:pPr>
              <w:pStyle w:val="TableContents"/>
              <w:bidi w:val="0"/>
              <w:spacing w:before="0" w:after="283"/>
              <w:jc w:val="center"/>
              <w:rPr>
                <w:color w:val="191919"/>
              </w:rPr>
            </w:pPr>
            <w:r>
              <w:rPr>
                <w:color w:val="191919"/>
              </w:rPr>
              <w:t>—</w:t>
            </w:r>
          </w:p>
        </w:tc>
        <w:tc>
          <w:tcPr>
            <w:tcW w:w="73"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54" w:type="dxa"/>
            <w:tcBorders/>
            <w:shd w:fill="EDEDED" w:val="clear"/>
            <w:vAlign w:val="center"/>
          </w:tcPr>
          <w:p>
            <w:pPr>
              <w:pStyle w:val="TableContents"/>
              <w:bidi w:val="0"/>
              <w:spacing w:before="0" w:after="283"/>
              <w:jc w:val="left"/>
              <w:rPr>
                <w:sz w:val="4"/>
                <w:szCs w:val="4"/>
              </w:rPr>
            </w:pPr>
            <w:r>
              <w:rPr>
                <w:sz w:val="4"/>
                <w:szCs w:val="4"/>
              </w:rPr>
            </w:r>
          </w:p>
        </w:tc>
        <w:tc>
          <w:tcPr>
            <w:tcW w:w="142" w:type="dxa"/>
            <w:tcBorders/>
            <w:shd w:fill="EDEDED" w:val="clear"/>
            <w:vAlign w:val="center"/>
          </w:tcPr>
          <w:p>
            <w:pPr>
              <w:pStyle w:val="TableContents"/>
              <w:bidi w:val="0"/>
              <w:spacing w:before="0" w:after="283"/>
              <w:jc w:val="left"/>
              <w:rPr>
                <w:color w:val="191919"/>
              </w:rPr>
            </w:pPr>
            <w:r>
              <w:rPr>
                <w:color w:val="191919"/>
              </w:rPr>
              <w:t> </w:t>
            </w:r>
          </w:p>
        </w:tc>
        <w:tc>
          <w:tcPr>
            <w:tcW w:w="1898" w:type="dxa"/>
            <w:tcBorders/>
            <w:shd w:fill="EDEDED" w:val="clear"/>
            <w:vAlign w:val="center"/>
          </w:tcPr>
          <w:p>
            <w:pPr>
              <w:pStyle w:val="TableContents"/>
              <w:bidi w:val="0"/>
              <w:spacing w:before="0" w:after="283"/>
              <w:jc w:val="center"/>
              <w:rPr>
                <w:color w:val="191919"/>
              </w:rPr>
            </w:pPr>
            <w:r>
              <w:rPr>
                <w:color w:val="191919"/>
              </w:rPr>
              <w:t>—</w:t>
            </w:r>
          </w:p>
        </w:tc>
        <w:tc>
          <w:tcPr>
            <w:tcW w:w="56" w:type="dxa"/>
            <w:tcBorders/>
            <w:shd w:fill="EDEDED" w:val="clear"/>
            <w:vAlign w:val="center"/>
          </w:tcPr>
          <w:p>
            <w:pPr>
              <w:pStyle w:val="TableContents"/>
              <w:bidi w:val="0"/>
              <w:spacing w:before="0" w:after="283"/>
              <w:jc w:val="left"/>
              <w:rPr>
                <w:sz w:val="4"/>
                <w:szCs w:val="4"/>
              </w:rPr>
            </w:pPr>
            <w:r>
              <w:rPr>
                <w:sz w:val="4"/>
                <w:szCs w:val="4"/>
              </w:rPr>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366" w:type="dxa"/>
            <w:tcBorders/>
            <w:shd w:fill="EDEDED" w:val="clear"/>
            <w:vAlign w:val="center"/>
          </w:tcPr>
          <w:p>
            <w:pPr>
              <w:pStyle w:val="TableContents"/>
              <w:bidi w:val="0"/>
              <w:spacing w:before="0" w:after="283"/>
              <w:jc w:val="left"/>
              <w:rPr>
                <w:color w:val="191919"/>
              </w:rPr>
            </w:pPr>
            <w:r>
              <w:rPr>
                <w:color w:val="191919"/>
              </w:rPr>
              <w:t> </w:t>
            </w:r>
          </w:p>
        </w:tc>
        <w:tc>
          <w:tcPr>
            <w:tcW w:w="1590" w:type="dxa"/>
            <w:tcBorders/>
            <w:shd w:fill="EDEDED" w:val="clear"/>
            <w:vAlign w:val="center"/>
          </w:tcPr>
          <w:p>
            <w:pPr>
              <w:pStyle w:val="TableContents"/>
              <w:bidi w:val="0"/>
              <w:spacing w:before="0" w:after="283"/>
              <w:jc w:val="center"/>
              <w:rPr>
                <w:color w:val="191919"/>
              </w:rPr>
            </w:pPr>
            <w:r>
              <w:rPr>
                <w:color w:val="191919"/>
              </w:rPr>
              <w:t>—</w:t>
            </w:r>
          </w:p>
        </w:tc>
        <w:tc>
          <w:tcPr>
            <w:tcW w:w="234" w:type="dxa"/>
            <w:tcBorders/>
            <w:shd w:fill="EDEDED"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sz w:val="4"/>
                <w:szCs w:val="4"/>
              </w:rPr>
            </w:pPr>
            <w:r>
              <w:rPr>
                <w:sz w:val="4"/>
                <w:szCs w:val="4"/>
              </w:rPr>
            </w:r>
          </w:p>
        </w:tc>
        <w:tc>
          <w:tcPr>
            <w:tcW w:w="1709" w:type="dxa"/>
            <w:gridSpan w:val="5"/>
            <w:tcBorders/>
            <w:vAlign w:val="center"/>
          </w:tcPr>
          <w:p>
            <w:pPr>
              <w:pStyle w:val="TableContents"/>
              <w:bidi w:val="0"/>
              <w:spacing w:before="0" w:after="283"/>
              <w:jc w:val="left"/>
              <w:rPr>
                <w:sz w:val="4"/>
                <w:szCs w:val="4"/>
              </w:rPr>
            </w:pPr>
            <w:r>
              <w:rPr>
                <w:sz w:val="4"/>
                <w:szCs w:val="4"/>
              </w:rPr>
            </w:r>
          </w:p>
        </w:tc>
        <w:tc>
          <w:tcPr>
            <w:tcW w:w="1738" w:type="dxa"/>
            <w:gridSpan w:val="5"/>
            <w:tcBorders/>
            <w:vAlign w:val="center"/>
          </w:tcPr>
          <w:p>
            <w:pPr>
              <w:pStyle w:val="TableContents"/>
              <w:bidi w:val="0"/>
              <w:spacing w:before="0" w:after="283"/>
              <w:jc w:val="left"/>
              <w:rPr>
                <w:sz w:val="4"/>
                <w:szCs w:val="4"/>
              </w:rPr>
            </w:pPr>
            <w:r>
              <w:rPr>
                <w:sz w:val="4"/>
                <w:szCs w:val="4"/>
              </w:rPr>
            </w:r>
          </w:p>
        </w:tc>
        <w:tc>
          <w:tcPr>
            <w:tcW w:w="2173" w:type="dxa"/>
            <w:gridSpan w:val="5"/>
            <w:tcBorders/>
            <w:vAlign w:val="center"/>
          </w:tcPr>
          <w:p>
            <w:pPr>
              <w:pStyle w:val="TableContents"/>
              <w:bidi w:val="0"/>
              <w:spacing w:before="0" w:after="283"/>
              <w:jc w:val="left"/>
              <w:rPr>
                <w:sz w:val="4"/>
                <w:szCs w:val="4"/>
              </w:rPr>
            </w:pPr>
            <w:r>
              <w:rPr>
                <w:sz w:val="4"/>
                <w:szCs w:val="4"/>
              </w:rPr>
            </w:r>
          </w:p>
        </w:tc>
        <w:tc>
          <w:tcPr>
            <w:tcW w:w="2353" w:type="dxa"/>
            <w:gridSpan w:val="5"/>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6" w:space="0" w:color="7DB655"/>
            </w:tcBorders>
            <w:tcMar>
              <w:bottom w:w="8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Danielle R. Garde</w:t>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58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w:t>
            </w:r>
          </w:p>
        </w:tc>
        <w:tc>
          <w:tcPr>
            <w:tcW w:w="23"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72"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88"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382"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w:t>
            </w:r>
          </w:p>
        </w:tc>
        <w:tc>
          <w:tcPr>
            <w:tcW w:w="73"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54"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42"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898"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w:t>
            </w:r>
          </w:p>
        </w:tc>
        <w:tc>
          <w:tcPr>
            <w:tcW w:w="56"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c>
          <w:tcPr>
            <w:tcW w:w="23"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140" w:type="dxa"/>
            <w:tcBorders>
              <w:bottom w:val="single" w:sz="6" w:space="0" w:color="7DB655"/>
            </w:tcBorders>
            <w:tcMar>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6" w:space="0" w:color="7DB655"/>
            </w:tcBorders>
            <w:tcMar>
              <w:bottom w:w="80" w:type="dxa"/>
            </w:tcMar>
            <w:vAlign w:val="center"/>
          </w:tcPr>
          <w:p>
            <w:pPr>
              <w:pStyle w:val="TableContents"/>
              <w:bidi w:val="0"/>
              <w:spacing w:before="0" w:after="283"/>
              <w:jc w:val="left"/>
              <w:rPr>
                <w:color w:val="191919"/>
              </w:rPr>
            </w:pPr>
            <w:r>
              <w:rPr>
                <w:color w:val="191919"/>
              </w:rPr>
              <w:t> </w:t>
            </w:r>
          </w:p>
        </w:tc>
        <w:tc>
          <w:tcPr>
            <w:tcW w:w="1590" w:type="dxa"/>
            <w:tcBorders>
              <w:bottom w:val="single" w:sz="6" w:space="0" w:color="7DB655"/>
            </w:tcBorders>
            <w:tcMar>
              <w:bottom w:w="80" w:type="dxa"/>
            </w:tcMar>
            <w:vAlign w:val="center"/>
          </w:tcPr>
          <w:p>
            <w:pPr>
              <w:pStyle w:val="TableContents"/>
              <w:bidi w:val="0"/>
              <w:spacing w:before="0" w:after="283"/>
              <w:jc w:val="center"/>
              <w:rPr>
                <w:color w:val="191919"/>
              </w:rPr>
            </w:pPr>
            <w:r>
              <w:rPr>
                <w:color w:val="191919"/>
              </w:rPr>
              <w:t>—</w:t>
            </w:r>
          </w:p>
        </w:tc>
        <w:tc>
          <w:tcPr>
            <w:tcW w:w="234" w:type="dxa"/>
            <w:tcBorders>
              <w:bottom w:val="single" w:sz="6" w:space="0" w:color="7DB655"/>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i/>
                <w:color w:val="191919"/>
              </w:rPr>
            </w:pPr>
            <w:r>
              <w:rPr>
                <w:i/>
                <w:color w:val="191919"/>
              </w:rPr>
              <w:t>(1)</w:t>
            </w:r>
          </w:p>
        </w:tc>
        <w:tc>
          <w:tcPr>
            <w:tcW w:w="996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pension plans listed represent legacy plans assumed from CSWC in connection with the Spin-Off. The plans listed were frozen on October 1, 2015, and no benefits have accrued to any plan participant following that date. The plans listed were subsequently terminated in September 2019. Mr. Armes’ 2.25 years of credited service under the Restoration Plan is attributable to his employment with CSWC prior to the Spin-Off. The present value of accumulated benefit shown is an actuarial present value derived from the plans’ provisions, which is influenced by credited service and based on the mortality and discount rate assumptions used for financial reporting purposes (but excluding pre-retirement mortality). Assumptions used in the valuations are discussed in Note 16 to the Company’s audited consolidated financial statements for the year ended March 31, 2026 in the Annual Report. </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5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25" descr=""/>
                          <pic:cNvPicPr>
                            <a:picLocks noChangeAspect="1" noChangeArrowheads="1"/>
                          </pic:cNvPicPr>
                        </pic:nvPicPr>
                        <pic:blipFill>
                          <a:blip r:embed="rId32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Potential Payments upon Termination or Change-In-Control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47" w:name="toc36145_25"/>
      <w:bookmarkStart w:id="48" w:name="txa136145_16"/>
      <w:bookmarkStart w:id="49" w:name="toc36145_18"/>
      <w:bookmarkEnd w:id="47"/>
      <w:bookmarkEnd w:id="48"/>
      <w:bookmarkEnd w:id="49"/>
      <w:r>
        <w:rPr>
          <w:rFonts w:ascii="Arial" w:hAnsi="Arial"/>
          <w:b/>
          <w:color w:val="7DB655"/>
          <w:sz w:val="30"/>
        </w:rPr>
        <w:t xml:space="preserve">Potential Payments upon Termination or Change-In-Control </w:t>
      </w:r>
    </w:p>
    <w:p>
      <w:pPr>
        <w:pStyle w:val="TextBody"/>
        <w:bidi w:val="0"/>
        <w:spacing w:before="240" w:after="0"/>
        <w:jc w:val="left"/>
        <w:rPr>
          <w:rFonts w:ascii="Arial" w:hAnsi="Arial"/>
          <w:color w:val="191919"/>
          <w:sz w:val="18"/>
        </w:rPr>
      </w:pPr>
      <w:r>
        <w:rPr>
          <w:rFonts w:ascii="Arial" w:hAnsi="Arial"/>
          <w:color w:val="191919"/>
          <w:sz w:val="18"/>
        </w:rPr>
        <w:t xml:space="preserve">The information below describes compensation that would have been paid under existing plans and contractual arrangements to the NEOs in the event of a termination of the executive’s employment with the Company or change in control of the Company, assuming these events occurred on March 31, 2026. Amounts shown therefore include amounts earned through such time and are estimates of the amounts that would have been paid out to the executives based upon their respective compensation and service levels as of such date and the closing price of the Company’s common stock on March 31, 2026, of $260.58. The actual amounts to be paid can only be determined at the time of a change in control or the executive’s termination of employment with the Company. Upon any termination of employment, each of the NEOs would also be entitled to the vested amounts, if any, shown in the “2026 Pension Benefits” table above. </w:t>
      </w:r>
    </w:p>
    <w:p>
      <w:pPr>
        <w:pStyle w:val="TextBody"/>
        <w:bidi w:val="0"/>
        <w:spacing w:before="360" w:after="0"/>
        <w:jc w:val="left"/>
        <w:rPr>
          <w:rFonts w:ascii="Arial" w:hAnsi="Arial"/>
          <w:b/>
          <w:color w:val="191919"/>
          <w:sz w:val="26"/>
        </w:rPr>
      </w:pPr>
      <w:r>
        <w:rPr>
          <w:rFonts w:ascii="Arial" w:hAnsi="Arial"/>
          <w:b/>
          <w:color w:val="191919"/>
          <w:sz w:val="26"/>
        </w:rPr>
        <w:t xml:space="preserve">CSW Industrials Executive Change in Control and Severance Benefit Plan </w:t>
      </w:r>
    </w:p>
    <w:p>
      <w:pPr>
        <w:pStyle w:val="TextBody"/>
        <w:bidi w:val="0"/>
        <w:spacing w:before="240" w:after="0"/>
        <w:jc w:val="left"/>
        <w:rPr>
          <w:rFonts w:ascii="Arial" w:hAnsi="Arial"/>
          <w:color w:val="191919"/>
          <w:sz w:val="18"/>
        </w:rPr>
      </w:pPr>
      <w:r>
        <w:rPr>
          <w:rFonts w:ascii="Arial" w:hAnsi="Arial"/>
          <w:color w:val="191919"/>
          <w:sz w:val="18"/>
        </w:rPr>
        <w:t xml:space="preserve">All the NEOs participated in the Company’s CIC and Severance Plan as of March 31, 2026. The CIC and Severance Plan provides benefits for termination of employment under three scenarios: by the Company without cause or by the executive for good reason; following a qualifying change in control; and upon death or disability. In any scenario, benefits are only paid after the executive (or the executive’s estate) executes a release in favor of the Company. </w:t>
      </w:r>
    </w:p>
    <w:p>
      <w:pPr>
        <w:pStyle w:val="TextBody"/>
        <w:bidi w:val="0"/>
        <w:spacing w:before="240" w:after="0"/>
        <w:jc w:val="left"/>
        <w:rPr>
          <w:rFonts w:ascii="Arial" w:hAnsi="Arial"/>
          <w:color w:val="191919"/>
          <w:sz w:val="18"/>
        </w:rPr>
      </w:pPr>
      <w:r>
        <w:rPr>
          <w:rFonts w:ascii="Arial" w:hAnsi="Arial"/>
          <w:color w:val="191919"/>
          <w:sz w:val="18"/>
        </w:rPr>
        <w:t xml:space="preserve">The CIC and Severance Plan provides benefits based on two participant levels, referred to as Level One and Level Two. Currently, Mr. Armes is the only Level One participant, and all other NEOs are Level Two participants. </w:t>
      </w:r>
    </w:p>
    <w:p>
      <w:pPr>
        <w:pStyle w:val="TextBody"/>
        <w:bidi w:val="0"/>
        <w:spacing w:before="360" w:after="0"/>
        <w:jc w:val="left"/>
        <w:rPr>
          <w:rFonts w:ascii="Arial" w:hAnsi="Arial"/>
          <w:b/>
          <w:color w:val="0A7DAC"/>
          <w:sz w:val="25"/>
        </w:rPr>
      </w:pPr>
      <w:r>
        <w:rPr>
          <w:rFonts w:ascii="Arial" w:hAnsi="Arial"/>
          <w:b/>
          <w:color w:val="0A7DAC"/>
          <w:sz w:val="25"/>
        </w:rPr>
        <w:t xml:space="preserve">Termination Without Cause by the Company or For Good Reason by the Executive </w:t>
      </w:r>
    </w:p>
    <w:p>
      <w:pPr>
        <w:pStyle w:val="TextBody"/>
        <w:bidi w:val="0"/>
        <w:spacing w:before="240" w:after="0"/>
        <w:jc w:val="left"/>
        <w:rPr>
          <w:rFonts w:ascii="Arial" w:hAnsi="Arial"/>
          <w:color w:val="191919"/>
          <w:sz w:val="18"/>
        </w:rPr>
      </w:pPr>
      <w:r>
        <w:rPr>
          <w:rFonts w:ascii="Arial" w:hAnsi="Arial"/>
          <w:color w:val="191919"/>
          <w:sz w:val="18"/>
        </w:rPr>
        <w:t xml:space="preserve">Upon an executive’s termination by the Company without cause or by the executive for good reason, the executive is entitled to the following severance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pro-rata bonus for the year in which termination occurs, calculated using the greater of the actual AIP award earned in the preceding fiscal year or the target AIP award for the current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lump sum payment equal to (a) in the case of a Level One participant, two times, and (b) in the case of a Level Two participant, one times, 12 months of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Continuation of health and welfare benefits for the earlier of the executive’s acceptance of full-time employment with another entity and (a) in the case of a Level One participant, 24 months following termination, and (b) in the case of a Level Two participant, 12 months following termination, in any case at a cost equal to the cost for an active employee for similar coverage;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Immediate vesting in full of all unvested equity awards that have a vesting date within (a) in the case of a Level One participant, two years, and (b) in the case of a Level Two participant, one year, of the date of termination, in accordance with the terms of the applicable award agreements. </w:t>
            </w:r>
          </w:p>
        </w:tc>
      </w:tr>
    </w:tbl>
    <w:p>
      <w:pPr>
        <w:pStyle w:val="TextBody"/>
        <w:bidi w:val="0"/>
        <w:spacing w:before="240" w:after="0"/>
        <w:jc w:val="left"/>
        <w:rPr>
          <w:rFonts w:ascii="Arial" w:hAnsi="Arial"/>
          <w:color w:val="191919"/>
          <w:sz w:val="18"/>
        </w:rPr>
      </w:pPr>
      <w:r>
        <w:rPr>
          <w:rFonts w:ascii="Arial" w:hAnsi="Arial"/>
          <w:color w:val="191919"/>
          <w:sz w:val="18"/>
        </w:rPr>
        <w:t xml:space="preserve">As used in the CIC and Severance Plan, “cause” generally means: (a) the commission of an act of personal dishonesty intended to result in substantial personal enrichment to the detriment of the Company; (b) the conviction or plea of nolo contendere to a misdemeanor involving moral turpitude or a felony; (c) the failure to perform work responsibilities; (d) violation of any of the Company’s material policies or procedures; or (e) any material breach of any material agreement with the Company, and in the cases of (c), (d) and (e), where such failure, violation or breach has continued for more than 30 days following written notice to the executive. </w:t>
      </w:r>
    </w:p>
    <w:p>
      <w:pPr>
        <w:pStyle w:val="TextBody"/>
        <w:bidi w:val="0"/>
        <w:spacing w:before="240" w:after="0"/>
        <w:jc w:val="left"/>
        <w:rPr>
          <w:rFonts w:ascii="Arial" w:hAnsi="Arial"/>
          <w:color w:val="191919"/>
          <w:sz w:val="18"/>
        </w:rPr>
      </w:pPr>
      <w:r>
        <w:rPr>
          <w:rFonts w:ascii="Arial" w:hAnsi="Arial"/>
          <w:color w:val="191919"/>
          <w:sz w:val="18"/>
        </w:rPr>
        <w:t xml:space="preserve">As used in the CIC and Severance Plan, “good reason” generally means, without the express written consent of the executive: (a) a material reduction in base compensation; (b) a material diminution in authority, duties, or responsibilities; (c) a permanent relocation more than 50 miles from where services were normally performed; (d) a material reduction in the authority, duties, or responsibilities of the person to whom the executive reports; or (e) any other action or inaction that constitutes a material breach by the Company of its obligations under the CIC and Severance Plan or any other material agreement to which the Company and the executive are parties.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5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26" descr=""/>
                          <pic:cNvPicPr>
                            <a:picLocks noChangeAspect="1" noChangeArrowheads="1"/>
                          </pic:cNvPicPr>
                        </pic:nvPicPr>
                        <pic:blipFill>
                          <a:blip r:embed="rId330"/>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Potential Payments upon Termination or Change-In-Control </w:t>
      </w:r>
    </w:p>
    <w:p>
      <w:pPr>
        <w:pStyle w:val="TextBody"/>
        <w:bidi w:val="0"/>
        <w:spacing w:before="0" w:after="0"/>
        <w:jc w:val="left"/>
        <w:rPr/>
      </w:pPr>
      <w:r>
        <w:rPr/>
        <w:t> </w:t>
      </w:r>
    </w:p>
    <w:p>
      <w:pPr>
        <w:pStyle w:val="TextBody"/>
        <w:bidi w:val="0"/>
        <w:spacing w:before="0" w:after="0"/>
        <w:jc w:val="left"/>
        <w:rPr>
          <w:rFonts w:ascii="Arial" w:hAnsi="Arial"/>
          <w:b/>
          <w:color w:val="0A7DAC"/>
          <w:sz w:val="25"/>
        </w:rPr>
      </w:pPr>
      <w:r>
        <w:rPr>
          <w:rFonts w:ascii="Arial" w:hAnsi="Arial"/>
          <w:b/>
          <w:color w:val="0A7DAC"/>
          <w:sz w:val="25"/>
        </w:rPr>
        <w:t xml:space="preserve">Termination Following a Change in Control </w:t>
      </w:r>
    </w:p>
    <w:p>
      <w:pPr>
        <w:pStyle w:val="TextBody"/>
        <w:bidi w:val="0"/>
        <w:spacing w:before="240" w:after="0"/>
        <w:jc w:val="left"/>
        <w:rPr>
          <w:rFonts w:ascii="Arial" w:hAnsi="Arial"/>
          <w:color w:val="191919"/>
          <w:sz w:val="18"/>
        </w:rPr>
      </w:pPr>
      <w:r>
        <w:rPr>
          <w:rFonts w:ascii="Arial" w:hAnsi="Arial"/>
          <w:color w:val="191919"/>
          <w:sz w:val="18"/>
        </w:rPr>
        <w:t xml:space="preserve">Upon the occurrence of a Change in Control (as defined in the Company’s 2024 Equity and Incentive Compensation Plan) and without a requirement that the executive’s employment be terminated, all then-outstanding unvested equity awards (including restricted stock and performance share awards) will fully vest, in accordance with the terms of the applicable award agreements. </w:t>
      </w:r>
    </w:p>
    <w:p>
      <w:pPr>
        <w:pStyle w:val="TextBody"/>
        <w:bidi w:val="0"/>
        <w:spacing w:before="240" w:after="0"/>
        <w:jc w:val="left"/>
        <w:rPr>
          <w:rFonts w:ascii="Arial" w:hAnsi="Arial"/>
          <w:color w:val="191919"/>
          <w:sz w:val="18"/>
        </w:rPr>
      </w:pPr>
      <w:r>
        <w:rPr>
          <w:rFonts w:ascii="Arial" w:hAnsi="Arial"/>
          <w:color w:val="191919"/>
          <w:sz w:val="18"/>
        </w:rPr>
        <w:t xml:space="preserve">If an executive’s employment is terminated without cause by the Company or for good reason by the executive, in either case within two years following a Change in Control, then the executive is entitled to the following severance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pro-rata bonus for the year in which termination occurs, calculated using the greater of the actual AIP award earned in the preceding fiscal year or the target AIP award for the current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A lump sum payment equal to (a) in the case of a Level One participant, three times, and (b) in the case of a Level Two participant, two times, the sum of (i) 12 months of base salary plus (ii) the executive’s target AIP award for the current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Continuation of health and welfare benefits for the earlier of 24 months following termination or the executive’s acceptance of full-time employment with another entity, at a cost equal to the cost for an active employee for similar coverage. </w:t>
            </w:r>
          </w:p>
        </w:tc>
      </w:tr>
    </w:tbl>
    <w:p>
      <w:pPr>
        <w:pStyle w:val="TextBody"/>
        <w:bidi w:val="0"/>
        <w:spacing w:before="120" w:after="0"/>
        <w:jc w:val="left"/>
        <w:rPr>
          <w:rFonts w:ascii="Arial" w:hAnsi="Arial"/>
          <w:color w:val="191919"/>
          <w:sz w:val="18"/>
        </w:rPr>
      </w:pPr>
      <w:r>
        <w:rPr>
          <w:rFonts w:ascii="Arial" w:hAnsi="Arial"/>
          <w:color w:val="191919"/>
          <w:sz w:val="18"/>
        </w:rPr>
        <w:t xml:space="preserve">In addition to the above, an executive would be entitled to any unpaid base salary through the date of termination, any AIP earned for a completed fiscal year but not yet paid, any unreimbursed business or other expenses through the date of termination, and any employee benefits to which the executive is entitled pursuant to the terms of the plans governing the benefits. </w:t>
      </w:r>
    </w:p>
    <w:p>
      <w:pPr>
        <w:pStyle w:val="TextBody"/>
        <w:bidi w:val="0"/>
        <w:spacing w:before="240" w:after="0"/>
        <w:jc w:val="left"/>
        <w:rPr>
          <w:rFonts w:ascii="Arial" w:hAnsi="Arial"/>
          <w:color w:val="191919"/>
          <w:sz w:val="18"/>
        </w:rPr>
      </w:pPr>
      <w:r>
        <w:rPr>
          <w:rFonts w:ascii="Arial" w:hAnsi="Arial"/>
          <w:color w:val="191919"/>
          <w:sz w:val="18"/>
        </w:rPr>
        <w:t xml:space="preserve">Additionally, the CIC and Severance Plan does not contemplate tax “gross up” payments. Instead, under a “best of net” provision in the CIC and Severance Plan, if any payments or benefits to which an executive is entitled are likely subject to the tax imposed by Section 4999 of the Code, the payment will be reduced such that Section 4999 does not apply or be paid in full, whichever produces the better net after-tax position, as determined by the Board in good faith. </w:t>
      </w:r>
    </w:p>
    <w:p>
      <w:pPr>
        <w:pStyle w:val="TextBody"/>
        <w:bidi w:val="0"/>
        <w:spacing w:before="360" w:after="0"/>
        <w:jc w:val="left"/>
        <w:rPr>
          <w:rFonts w:ascii="Arial" w:hAnsi="Arial"/>
          <w:b/>
          <w:color w:val="0A7DAC"/>
          <w:sz w:val="25"/>
        </w:rPr>
      </w:pPr>
      <w:r>
        <w:rPr>
          <w:rFonts w:ascii="Arial" w:hAnsi="Arial"/>
          <w:b/>
          <w:color w:val="0A7DAC"/>
          <w:sz w:val="25"/>
        </w:rPr>
        <w:t xml:space="preserve">Termination Due to Death or Disability </w:t>
      </w:r>
    </w:p>
    <w:p>
      <w:pPr>
        <w:pStyle w:val="TextBody"/>
        <w:bidi w:val="0"/>
        <w:spacing w:before="240" w:after="0"/>
        <w:jc w:val="left"/>
        <w:rPr>
          <w:rFonts w:ascii="Arial" w:hAnsi="Arial"/>
          <w:color w:val="191919"/>
          <w:sz w:val="18"/>
        </w:rPr>
      </w:pPr>
      <w:r>
        <w:rPr>
          <w:rFonts w:ascii="Arial" w:hAnsi="Arial"/>
          <w:color w:val="191919"/>
          <w:sz w:val="18"/>
        </w:rPr>
        <w:t xml:space="preserve">Upon an executive’s death or disability, the executive (or the executive’s estate) would be entitled to receive: (a) a pro-rata bonus for the year in which termination occurs, calculated using the greater of the actual AIP award earned in the preceding fiscal year or the target AIP award for the current fiscal year; and (b) continued medical and dental insurance coverage for 12 months following termination, at a cost equal to the cost for an active employee for similar coverage. Additionally, all then-outstanding unvested equity awards will fully vest, in accordance with the terms of the applicable award agreements.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60"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27" descr=""/>
                          <pic:cNvPicPr>
                            <a:picLocks noChangeAspect="1" noChangeArrowheads="1"/>
                          </pic:cNvPicPr>
                        </pic:nvPicPr>
                        <pic:blipFill>
                          <a:blip r:embed="rId33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Potential Payments upon Termination or Change-In-Control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Quantification of Potential Payments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the estimated value of the potential payments to each of the NEOs, assuming the executive’s employment had terminated on March 31, 2026. For the events of termination involving a change-in-control, we assumed that the change-in-control also occurred on that date. In addition to the payments set forth in the following table, Mr. Armes may receive certain payments upon his termination or a change-in-control pursuant to the legacy pension plans. Previously vested benefits under those plans for Mr. Armes are disclosed in the “2026 Pension Benefits”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1"/>
        <w:gridCol w:w="120"/>
        <w:gridCol w:w="1963"/>
        <w:gridCol w:w="120"/>
        <w:gridCol w:w="60"/>
        <w:gridCol w:w="1100"/>
        <w:gridCol w:w="60"/>
        <w:gridCol w:w="120"/>
        <w:gridCol w:w="60"/>
        <w:gridCol w:w="980"/>
        <w:gridCol w:w="60"/>
        <w:gridCol w:w="120"/>
        <w:gridCol w:w="71"/>
        <w:gridCol w:w="1164"/>
        <w:gridCol w:w="60"/>
        <w:gridCol w:w="120"/>
        <w:gridCol w:w="60"/>
        <w:gridCol w:w="980"/>
        <w:gridCol w:w="60"/>
        <w:gridCol w:w="120"/>
        <w:gridCol w:w="60"/>
        <w:gridCol w:w="980"/>
        <w:gridCol w:w="76"/>
      </w:tblGrid>
      <w:tr>
        <w:trPr/>
        <w:tc>
          <w:tcPr>
            <w:tcW w:w="1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6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35" w:type="dxa"/>
            <w:gridSpan w:val="18"/>
            <w:tcBorders>
              <w:bottom w:val="single" w:sz="2" w:space="0" w:color="7DB655"/>
            </w:tcBorders>
            <w:tcMar>
              <w:bottom w:w="40" w:type="dxa"/>
            </w:tcMar>
            <w:vAlign w:val="center"/>
          </w:tcPr>
          <w:p>
            <w:pPr>
              <w:pStyle w:val="TableContents"/>
              <w:bidi w:val="0"/>
              <w:spacing w:before="0" w:after="283"/>
              <w:jc w:val="center"/>
              <w:rPr>
                <w:b/>
                <w:color w:val="191919"/>
              </w:rPr>
            </w:pPr>
            <w:r>
              <w:rPr>
                <w:b/>
                <w:color w:val="191919"/>
              </w:rPr>
              <w:t>Payout ($)</w:t>
            </w:r>
          </w:p>
        </w:tc>
        <w:tc>
          <w:tcPr>
            <w:tcW w:w="76" w:type="dxa"/>
            <w:tcBorders/>
            <w:vAlign w:val="center"/>
          </w:tcPr>
          <w:p>
            <w:pPr>
              <w:pStyle w:val="TableContents"/>
              <w:bidi w:val="0"/>
              <w:spacing w:before="0" w:after="283"/>
              <w:jc w:val="left"/>
              <w:rPr/>
            </w:pPr>
            <w:r>
              <w:rPr/>
              <w:t> </w:t>
            </w:r>
          </w:p>
        </w:tc>
      </w:tr>
      <w:tr>
        <w:trPr/>
        <w:tc>
          <w:tcPr>
            <w:tcW w:w="1691" w:type="dxa"/>
            <w:tcBorders/>
            <w:vAlign w:val="center"/>
          </w:tcPr>
          <w:p>
            <w:pPr>
              <w:pStyle w:val="TableContents"/>
              <w:bidi w:val="0"/>
              <w:spacing w:before="0" w:after="283"/>
              <w:jc w:val="left"/>
              <w:rPr>
                <w:sz w:val="4"/>
                <w:szCs w:val="4"/>
              </w:rPr>
            </w:pPr>
            <w:r>
              <w:rPr>
                <w:sz w:val="4"/>
                <w:szCs w:val="4"/>
              </w:rPr>
            </w:r>
          </w:p>
        </w:tc>
        <w:tc>
          <w:tcPr>
            <w:tcW w:w="2083" w:type="dxa"/>
            <w:gridSpan w:val="2"/>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6" w:type="dxa"/>
            <w:gridSpan w:val="4"/>
            <w:tcBorders/>
            <w:vAlign w:val="center"/>
          </w:tcPr>
          <w:p>
            <w:pPr>
              <w:pStyle w:val="TableContents"/>
              <w:bidi w:val="0"/>
              <w:spacing w:before="0" w:after="283"/>
              <w:jc w:val="left"/>
              <w:rPr>
                <w:sz w:val="4"/>
                <w:szCs w:val="4"/>
              </w:rPr>
            </w:pPr>
            <w:r>
              <w:rPr>
                <w:sz w:val="4"/>
                <w:szCs w:val="4"/>
              </w:rPr>
            </w:r>
          </w:p>
        </w:tc>
      </w:tr>
      <w:tr>
        <w:trPr/>
        <w:tc>
          <w:tcPr>
            <w:tcW w:w="1691"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Triggering Event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963"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Compensation Component</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6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Joseph B.</w:t>
              <w:br/>
              <w:t>Armes(1)</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James E.</w:t>
              <w:br/>
              <w:t>Perry</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35"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Jeff A.</w:t>
              <w:br/>
              <w:t>Underwood</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Luke E.</w:t>
              <w:br/>
              <w:t>Alverson</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Danielle</w:t>
              <w:br/>
              <w:t>R. Garde</w:t>
            </w:r>
          </w:p>
        </w:tc>
        <w:tc>
          <w:tcPr>
            <w:tcW w:w="76"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1691" w:type="dxa"/>
            <w:vMerge w:val="restart"/>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Death</w:t>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Life insurance benefit (third party payment)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50,000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50,000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50,000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50,000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50,000</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Pro-rata annual incentive award (greater of target or last year actual)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1,202,500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391,512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286,000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244,548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244,548</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Health &amp; welfare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14,009</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18,804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21,958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23,763</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23,763</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Immediate vesting of equity awards(2)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18,265,355</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2,584,954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1,402,702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1,494,166</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1,441,529</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b/>
                <w:color w:val="8ABD66"/>
                <w:sz w:val="17"/>
              </w:rPr>
            </w:pPr>
            <w:r>
              <w:rPr>
                <w:rFonts w:ascii="Arial" w:hAnsi="Arial"/>
                <w:b/>
                <w:color w:val="8ABD66"/>
                <w:sz w:val="17"/>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1100" w:type="dxa"/>
            <w:tcBorders/>
            <w:vAlign w:val="center"/>
          </w:tcPr>
          <w:p>
            <w:pPr>
              <w:pStyle w:val="TableContents"/>
              <w:bidi w:val="0"/>
              <w:spacing w:before="0" w:after="283"/>
              <w:jc w:val="right"/>
              <w:rPr>
                <w:b/>
                <w:color w:val="8ABD66"/>
              </w:rPr>
            </w:pPr>
            <w:r>
              <w:rPr>
                <w:b/>
                <w:color w:val="8ABD66"/>
              </w:rPr>
              <w:t>19,531,864</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980" w:type="dxa"/>
            <w:tcBorders/>
            <w:vAlign w:val="center"/>
          </w:tcPr>
          <w:p>
            <w:pPr>
              <w:pStyle w:val="TableContents"/>
              <w:bidi w:val="0"/>
              <w:spacing w:before="0" w:after="283"/>
              <w:jc w:val="right"/>
              <w:rPr>
                <w:b/>
                <w:color w:val="8ABD66"/>
              </w:rPr>
            </w:pPr>
            <w:r>
              <w:rPr>
                <w:b/>
                <w:color w:val="8ABD66"/>
              </w:rPr>
              <w:t>3,045,270</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8ABD66"/>
              </w:rPr>
            </w:pPr>
            <w:r>
              <w:rPr>
                <w:color w:val="8ABD66"/>
              </w:rPr>
              <w:t> </w:t>
            </w:r>
          </w:p>
        </w:tc>
        <w:tc>
          <w:tcPr>
            <w:tcW w:w="1164" w:type="dxa"/>
            <w:tcBorders/>
            <w:vAlign w:val="center"/>
          </w:tcPr>
          <w:p>
            <w:pPr>
              <w:pStyle w:val="TableContents"/>
              <w:bidi w:val="0"/>
              <w:spacing w:before="0" w:after="283"/>
              <w:jc w:val="right"/>
              <w:rPr>
                <w:b/>
                <w:color w:val="8ABD66"/>
              </w:rPr>
            </w:pPr>
            <w:r>
              <w:rPr>
                <w:b/>
                <w:color w:val="8ABD66"/>
              </w:rPr>
              <w:t>1,760,660</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980" w:type="dxa"/>
            <w:tcBorders/>
            <w:vAlign w:val="center"/>
          </w:tcPr>
          <w:p>
            <w:pPr>
              <w:pStyle w:val="TableContents"/>
              <w:bidi w:val="0"/>
              <w:spacing w:before="0" w:after="283"/>
              <w:jc w:val="right"/>
              <w:rPr>
                <w:b/>
                <w:color w:val="8ABD66"/>
              </w:rPr>
            </w:pPr>
            <w:r>
              <w:rPr>
                <w:b/>
                <w:color w:val="8ABD66"/>
              </w:rPr>
              <w:t>1,812,477</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980" w:type="dxa"/>
            <w:tcBorders/>
            <w:vAlign w:val="center"/>
          </w:tcPr>
          <w:p>
            <w:pPr>
              <w:pStyle w:val="TableContents"/>
              <w:bidi w:val="0"/>
              <w:spacing w:before="0" w:after="283"/>
              <w:jc w:val="right"/>
              <w:rPr>
                <w:b/>
                <w:color w:val="8ABD66"/>
              </w:rPr>
            </w:pPr>
            <w:r>
              <w:rPr>
                <w:b/>
                <w:color w:val="8ABD66"/>
              </w:rPr>
              <w:t>1,759,840</w:t>
            </w:r>
          </w:p>
        </w:tc>
        <w:tc>
          <w:tcPr>
            <w:tcW w:w="76" w:type="dxa"/>
            <w:tcBorders/>
            <w:vAlign w:val="center"/>
          </w:tcPr>
          <w:p>
            <w:pPr>
              <w:pStyle w:val="TableContents"/>
              <w:bidi w:val="0"/>
              <w:spacing w:before="0" w:after="283"/>
              <w:jc w:val="left"/>
              <w:rPr>
                <w:color w:val="8ABD66"/>
              </w:rPr>
            </w:pPr>
            <w:r>
              <w:rPr>
                <w:color w:val="8ABD66"/>
              </w:rPr>
              <w:t> </w:t>
            </w:r>
          </w:p>
        </w:tc>
      </w:tr>
      <w:tr>
        <w:trPr/>
        <w:tc>
          <w:tcPr>
            <w:tcW w:w="1691" w:type="dxa"/>
            <w:vMerge w:val="restart"/>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7"/>
              </w:rPr>
            </w:pPr>
            <w:r>
              <w:rPr>
                <w:rFonts w:ascii="Arial" w:hAnsi="Arial"/>
                <w:b/>
                <w:color w:val="191919"/>
                <w:sz w:val="17"/>
              </w:rPr>
              <w:t>Disability</w:t>
            </w:r>
          </w:p>
        </w:tc>
        <w:tc>
          <w:tcPr>
            <w:tcW w:w="120" w:type="dxa"/>
            <w:tcBorders/>
            <w:shd w:fill="EDEDED" w:val="clear"/>
            <w:vAlign w:val="center"/>
          </w:tcPr>
          <w:p>
            <w:pPr>
              <w:pStyle w:val="TableContents"/>
              <w:bidi w:val="0"/>
              <w:spacing w:before="0" w:after="283"/>
              <w:jc w:val="left"/>
              <w:rPr/>
            </w:pPr>
            <w:r>
              <w:rPr/>
              <w:t>  </w:t>
            </w:r>
          </w:p>
        </w:tc>
        <w:tc>
          <w:tcPr>
            <w:tcW w:w="1963"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Pro-rata annual incentive award (greater of target or last year actual)</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0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1,202,500</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391,512</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64"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286,000</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244,548</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244,548</w:t>
            </w:r>
          </w:p>
        </w:tc>
        <w:tc>
          <w:tcPr>
            <w:tcW w:w="76"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r>
        <w:trPr/>
        <w:tc>
          <w:tcPr>
            <w:tcW w:w="1691"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963"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Health &amp; welfare benefit</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100" w:type="dxa"/>
            <w:tcBorders/>
            <w:shd w:fill="EDEDED" w:val="clear"/>
            <w:vAlign w:val="center"/>
          </w:tcPr>
          <w:p>
            <w:pPr>
              <w:pStyle w:val="TableContents"/>
              <w:bidi w:val="0"/>
              <w:spacing w:before="0" w:after="283"/>
              <w:jc w:val="right"/>
              <w:rPr>
                <w:color w:val="191919"/>
              </w:rPr>
            </w:pPr>
            <w:r>
              <w:rPr>
                <w:color w:val="191919"/>
              </w:rPr>
              <w:t>14,009</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18,804</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191919"/>
              </w:rPr>
            </w:pPr>
            <w:r>
              <w:rPr>
                <w:color w:val="191919"/>
              </w:rPr>
              <w:t> </w:t>
            </w:r>
          </w:p>
        </w:tc>
        <w:tc>
          <w:tcPr>
            <w:tcW w:w="1164" w:type="dxa"/>
            <w:tcBorders/>
            <w:shd w:fill="EDEDED" w:val="clear"/>
            <w:vAlign w:val="center"/>
          </w:tcPr>
          <w:p>
            <w:pPr>
              <w:pStyle w:val="TableContents"/>
              <w:bidi w:val="0"/>
              <w:spacing w:before="0" w:after="283"/>
              <w:jc w:val="right"/>
              <w:rPr>
                <w:color w:val="191919"/>
              </w:rPr>
            </w:pPr>
            <w:r>
              <w:rPr>
                <w:color w:val="191919"/>
              </w:rPr>
              <w:t>21,958</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23,763</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23,763</w:t>
            </w:r>
          </w:p>
        </w:tc>
        <w:tc>
          <w:tcPr>
            <w:tcW w:w="76" w:type="dxa"/>
            <w:tcBorders/>
            <w:shd w:fill="EDEDED" w:val="clear"/>
            <w:vAlign w:val="center"/>
          </w:tcPr>
          <w:p>
            <w:pPr>
              <w:pStyle w:val="TableContents"/>
              <w:bidi w:val="0"/>
              <w:spacing w:before="0" w:after="283"/>
              <w:jc w:val="left"/>
              <w:rPr>
                <w:color w:val="191919"/>
              </w:rPr>
            </w:pPr>
            <w:r>
              <w:rPr>
                <w:color w:val="191919"/>
              </w:rPr>
              <w:t> </w:t>
            </w:r>
          </w:p>
        </w:tc>
      </w:tr>
      <w:tr>
        <w:trPr/>
        <w:tc>
          <w:tcPr>
            <w:tcW w:w="1691"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963"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Immediate vesting of equity awards(2)</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100" w:type="dxa"/>
            <w:tcBorders/>
            <w:shd w:fill="EDEDED" w:val="clear"/>
            <w:vAlign w:val="center"/>
          </w:tcPr>
          <w:p>
            <w:pPr>
              <w:pStyle w:val="TableContents"/>
              <w:bidi w:val="0"/>
              <w:spacing w:before="0" w:after="283"/>
              <w:jc w:val="right"/>
              <w:rPr>
                <w:color w:val="191919"/>
              </w:rPr>
            </w:pPr>
            <w:r>
              <w:rPr>
                <w:color w:val="191919"/>
              </w:rPr>
              <w:t>18,265,355</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2,584,954</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191919"/>
              </w:rPr>
            </w:pPr>
            <w:r>
              <w:rPr>
                <w:color w:val="191919"/>
              </w:rPr>
              <w:t> </w:t>
            </w:r>
          </w:p>
        </w:tc>
        <w:tc>
          <w:tcPr>
            <w:tcW w:w="1164" w:type="dxa"/>
            <w:tcBorders/>
            <w:shd w:fill="EDEDED" w:val="clear"/>
            <w:vAlign w:val="center"/>
          </w:tcPr>
          <w:p>
            <w:pPr>
              <w:pStyle w:val="TableContents"/>
              <w:bidi w:val="0"/>
              <w:spacing w:before="0" w:after="283"/>
              <w:jc w:val="right"/>
              <w:rPr>
                <w:color w:val="191919"/>
              </w:rPr>
            </w:pPr>
            <w:r>
              <w:rPr>
                <w:color w:val="191919"/>
              </w:rPr>
              <w:t>1,402,702</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1,494,166</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980" w:type="dxa"/>
            <w:tcBorders/>
            <w:shd w:fill="EDEDED" w:val="clear"/>
            <w:vAlign w:val="center"/>
          </w:tcPr>
          <w:p>
            <w:pPr>
              <w:pStyle w:val="TableContents"/>
              <w:bidi w:val="0"/>
              <w:spacing w:before="0" w:after="283"/>
              <w:jc w:val="right"/>
              <w:rPr>
                <w:color w:val="191919"/>
              </w:rPr>
            </w:pPr>
            <w:r>
              <w:rPr>
                <w:color w:val="191919"/>
              </w:rPr>
              <w:t>1,441,529</w:t>
            </w:r>
          </w:p>
        </w:tc>
        <w:tc>
          <w:tcPr>
            <w:tcW w:w="76" w:type="dxa"/>
            <w:tcBorders/>
            <w:shd w:fill="EDEDED" w:val="clear"/>
            <w:vAlign w:val="center"/>
          </w:tcPr>
          <w:p>
            <w:pPr>
              <w:pStyle w:val="TableContents"/>
              <w:bidi w:val="0"/>
              <w:spacing w:before="0" w:after="283"/>
              <w:jc w:val="left"/>
              <w:rPr>
                <w:color w:val="191919"/>
              </w:rPr>
            </w:pPr>
            <w:r>
              <w:rPr>
                <w:color w:val="191919"/>
              </w:rPr>
              <w:t> </w:t>
            </w:r>
          </w:p>
        </w:tc>
      </w:tr>
      <w:tr>
        <w:trPr/>
        <w:tc>
          <w:tcPr>
            <w:tcW w:w="1691"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963" w:type="dxa"/>
            <w:tcBorders/>
            <w:shd w:fill="EDEDED" w:val="clear"/>
            <w:vAlign w:val="center"/>
          </w:tcPr>
          <w:p>
            <w:pPr>
              <w:pStyle w:val="TableContents"/>
              <w:bidi w:val="0"/>
              <w:spacing w:before="0" w:after="0"/>
              <w:jc w:val="left"/>
              <w:rPr>
                <w:rFonts w:ascii="Arial" w:hAnsi="Arial"/>
                <w:b/>
                <w:color w:val="8ABD66"/>
                <w:sz w:val="17"/>
              </w:rPr>
            </w:pPr>
            <w:r>
              <w:rPr>
                <w:rFonts w:ascii="Arial" w:hAnsi="Arial"/>
                <w:b/>
                <w:color w:val="8ABD66"/>
                <w:sz w:val="17"/>
              </w:rPr>
              <w:t>TOTAL</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100" w:type="dxa"/>
            <w:tcBorders/>
            <w:shd w:fill="EDEDED" w:val="clear"/>
            <w:vAlign w:val="center"/>
          </w:tcPr>
          <w:p>
            <w:pPr>
              <w:pStyle w:val="TableContents"/>
              <w:bidi w:val="0"/>
              <w:spacing w:before="0" w:after="283"/>
              <w:jc w:val="right"/>
              <w:rPr>
                <w:b/>
                <w:color w:val="8ABD66"/>
              </w:rPr>
            </w:pPr>
            <w:r>
              <w:rPr>
                <w:b/>
                <w:color w:val="8ABD66"/>
              </w:rPr>
              <w:t>19,481,864</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980" w:type="dxa"/>
            <w:tcBorders/>
            <w:shd w:fill="EDEDED" w:val="clear"/>
            <w:vAlign w:val="center"/>
          </w:tcPr>
          <w:p>
            <w:pPr>
              <w:pStyle w:val="TableContents"/>
              <w:bidi w:val="0"/>
              <w:spacing w:before="0" w:after="283"/>
              <w:jc w:val="right"/>
              <w:rPr>
                <w:b/>
                <w:color w:val="8ABD66"/>
              </w:rPr>
            </w:pPr>
            <w:r>
              <w:rPr>
                <w:b/>
                <w:color w:val="8ABD66"/>
              </w:rPr>
              <w:t>2,995,270</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8ABD66"/>
              </w:rPr>
            </w:pPr>
            <w:r>
              <w:rPr>
                <w:color w:val="8ABD66"/>
              </w:rPr>
              <w:t> </w:t>
            </w:r>
          </w:p>
        </w:tc>
        <w:tc>
          <w:tcPr>
            <w:tcW w:w="1164" w:type="dxa"/>
            <w:tcBorders/>
            <w:shd w:fill="EDEDED" w:val="clear"/>
            <w:vAlign w:val="center"/>
          </w:tcPr>
          <w:p>
            <w:pPr>
              <w:pStyle w:val="TableContents"/>
              <w:bidi w:val="0"/>
              <w:spacing w:before="0" w:after="283"/>
              <w:jc w:val="right"/>
              <w:rPr>
                <w:b/>
                <w:color w:val="8ABD66"/>
              </w:rPr>
            </w:pPr>
            <w:r>
              <w:rPr>
                <w:b/>
                <w:color w:val="8ABD66"/>
              </w:rPr>
              <w:t>1,710,660</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980" w:type="dxa"/>
            <w:tcBorders/>
            <w:shd w:fill="EDEDED" w:val="clear"/>
            <w:vAlign w:val="center"/>
          </w:tcPr>
          <w:p>
            <w:pPr>
              <w:pStyle w:val="TableContents"/>
              <w:bidi w:val="0"/>
              <w:spacing w:before="0" w:after="283"/>
              <w:jc w:val="right"/>
              <w:rPr>
                <w:b/>
                <w:color w:val="8ABD66"/>
              </w:rPr>
            </w:pPr>
            <w:r>
              <w:rPr>
                <w:b/>
                <w:color w:val="8ABD66"/>
              </w:rPr>
              <w:t>1,762,477</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980" w:type="dxa"/>
            <w:tcBorders/>
            <w:shd w:fill="EDEDED" w:val="clear"/>
            <w:vAlign w:val="center"/>
          </w:tcPr>
          <w:p>
            <w:pPr>
              <w:pStyle w:val="TableContents"/>
              <w:bidi w:val="0"/>
              <w:spacing w:before="0" w:after="283"/>
              <w:jc w:val="right"/>
              <w:rPr>
                <w:b/>
                <w:color w:val="8ABD66"/>
              </w:rPr>
            </w:pPr>
            <w:r>
              <w:rPr>
                <w:b/>
                <w:color w:val="8ABD66"/>
              </w:rPr>
              <w:t>1,709,840</w:t>
            </w:r>
          </w:p>
        </w:tc>
        <w:tc>
          <w:tcPr>
            <w:tcW w:w="76" w:type="dxa"/>
            <w:tcBorders/>
            <w:shd w:fill="EDEDED" w:val="clear"/>
            <w:vAlign w:val="center"/>
          </w:tcPr>
          <w:p>
            <w:pPr>
              <w:pStyle w:val="TableContents"/>
              <w:bidi w:val="0"/>
              <w:spacing w:before="0" w:after="283"/>
              <w:jc w:val="left"/>
              <w:rPr>
                <w:color w:val="8ABD66"/>
              </w:rPr>
            </w:pPr>
            <w:r>
              <w:rPr>
                <w:color w:val="8ABD66"/>
              </w:rPr>
              <w:t> </w:t>
            </w:r>
          </w:p>
        </w:tc>
      </w:tr>
      <w:tr>
        <w:trPr/>
        <w:tc>
          <w:tcPr>
            <w:tcW w:w="1691"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Termination Without</w:t>
            </w:r>
          </w:p>
          <w:p>
            <w:pPr>
              <w:pStyle w:val="TableContents"/>
              <w:bidi w:val="0"/>
              <w:spacing w:before="0" w:after="0"/>
              <w:jc w:val="left"/>
              <w:rPr>
                <w:rFonts w:ascii="Arial" w:hAnsi="Arial"/>
                <w:b/>
                <w:color w:val="191919"/>
                <w:sz w:val="17"/>
              </w:rPr>
            </w:pPr>
            <w:r>
              <w:rPr>
                <w:rFonts w:ascii="Arial" w:hAnsi="Arial"/>
                <w:b/>
                <w:color w:val="191919"/>
                <w:sz w:val="17"/>
              </w:rPr>
              <w:t>Cause by the Company</w:t>
            </w:r>
          </w:p>
          <w:p>
            <w:pPr>
              <w:pStyle w:val="TableContents"/>
              <w:bidi w:val="0"/>
              <w:spacing w:before="0" w:after="20"/>
              <w:jc w:val="left"/>
              <w:rPr>
                <w:rFonts w:ascii="Arial" w:hAnsi="Arial"/>
                <w:b/>
                <w:color w:val="191919"/>
                <w:sz w:val="17"/>
              </w:rPr>
            </w:pPr>
            <w:r>
              <w:rPr>
                <w:rFonts w:ascii="Arial" w:hAnsi="Arial"/>
                <w:b/>
                <w:color w:val="191919"/>
                <w:sz w:val="17"/>
              </w:rPr>
              <w:t>or For Good Reason by the Executive</w:t>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Termination payment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4,255,000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520,000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64"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440,000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440,000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440,000</w:t>
            </w:r>
          </w:p>
        </w:tc>
        <w:tc>
          <w:tcPr>
            <w:tcW w:w="76"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Pro-rata annual incentive award (greater of target or last year actual)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1,202,500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391,512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286,000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244,548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244,548</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Immediate vesting of certain equity awards(2)(3)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23,510,831</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1,269,285</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573,797</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727,539</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697,573</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Health &amp; welfare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28,018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18,804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21,958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23,763</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23,763</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b/>
                <w:color w:val="8ABD66"/>
                <w:sz w:val="17"/>
              </w:rPr>
            </w:pPr>
            <w:r>
              <w:rPr>
                <w:rFonts w:ascii="Arial" w:hAnsi="Arial"/>
                <w:b/>
                <w:color w:val="8ABD66"/>
                <w:sz w:val="17"/>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1100" w:type="dxa"/>
            <w:tcBorders/>
            <w:vAlign w:val="center"/>
          </w:tcPr>
          <w:p>
            <w:pPr>
              <w:pStyle w:val="TableContents"/>
              <w:bidi w:val="0"/>
              <w:spacing w:before="0" w:after="283"/>
              <w:jc w:val="right"/>
              <w:rPr>
                <w:b/>
                <w:color w:val="8ABD66"/>
              </w:rPr>
            </w:pPr>
            <w:r>
              <w:rPr>
                <w:b/>
                <w:color w:val="8ABD66"/>
              </w:rPr>
              <w:t>28,996,349</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980" w:type="dxa"/>
            <w:tcBorders/>
            <w:vAlign w:val="center"/>
          </w:tcPr>
          <w:p>
            <w:pPr>
              <w:pStyle w:val="TableContents"/>
              <w:bidi w:val="0"/>
              <w:spacing w:before="0" w:after="283"/>
              <w:jc w:val="right"/>
              <w:rPr>
                <w:b/>
                <w:color w:val="8ABD66"/>
              </w:rPr>
            </w:pPr>
            <w:r>
              <w:rPr>
                <w:b/>
                <w:color w:val="8ABD66"/>
              </w:rPr>
              <w:t>2,199,601</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8ABD66"/>
              </w:rPr>
            </w:pPr>
            <w:r>
              <w:rPr>
                <w:color w:val="8ABD66"/>
              </w:rPr>
              <w:t> </w:t>
            </w:r>
          </w:p>
        </w:tc>
        <w:tc>
          <w:tcPr>
            <w:tcW w:w="1164" w:type="dxa"/>
            <w:tcBorders/>
            <w:vAlign w:val="center"/>
          </w:tcPr>
          <w:p>
            <w:pPr>
              <w:pStyle w:val="TableContents"/>
              <w:bidi w:val="0"/>
              <w:spacing w:before="0" w:after="283"/>
              <w:jc w:val="right"/>
              <w:rPr>
                <w:b/>
                <w:color w:val="8ABD66"/>
              </w:rPr>
            </w:pPr>
            <w:r>
              <w:rPr>
                <w:b/>
                <w:color w:val="8ABD66"/>
              </w:rPr>
              <w:t>1,321,755</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980" w:type="dxa"/>
            <w:tcBorders/>
            <w:vAlign w:val="center"/>
          </w:tcPr>
          <w:p>
            <w:pPr>
              <w:pStyle w:val="TableContents"/>
              <w:bidi w:val="0"/>
              <w:spacing w:before="0" w:after="283"/>
              <w:jc w:val="right"/>
              <w:rPr>
                <w:b/>
                <w:color w:val="8ABD66"/>
              </w:rPr>
            </w:pPr>
            <w:r>
              <w:rPr>
                <w:b/>
                <w:color w:val="8ABD66"/>
              </w:rPr>
              <w:t>1,435,850</w:t>
            </w:r>
          </w:p>
        </w:tc>
        <w:tc>
          <w:tcPr>
            <w:tcW w:w="60" w:type="dxa"/>
            <w:tcBorders/>
            <w:vAlign w:val="center"/>
          </w:tcPr>
          <w:p>
            <w:pPr>
              <w:pStyle w:val="TableContents"/>
              <w:bidi w:val="0"/>
              <w:spacing w:before="0" w:after="283"/>
              <w:jc w:val="left"/>
              <w:rPr>
                <w:color w:val="8ABD66"/>
              </w:rPr>
            </w:pPr>
            <w:r>
              <w:rPr>
                <w:color w:val="8ABD66"/>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8ABD66"/>
              </w:rPr>
            </w:pPr>
            <w:r>
              <w:rPr>
                <w:color w:val="8ABD66"/>
              </w:rPr>
              <w:t> </w:t>
            </w:r>
          </w:p>
        </w:tc>
        <w:tc>
          <w:tcPr>
            <w:tcW w:w="980" w:type="dxa"/>
            <w:tcBorders/>
            <w:vAlign w:val="center"/>
          </w:tcPr>
          <w:p>
            <w:pPr>
              <w:pStyle w:val="TableContents"/>
              <w:bidi w:val="0"/>
              <w:spacing w:before="0" w:after="283"/>
              <w:jc w:val="right"/>
              <w:rPr>
                <w:b/>
                <w:color w:val="8ABD66"/>
              </w:rPr>
            </w:pPr>
            <w:r>
              <w:rPr>
                <w:b/>
                <w:color w:val="8ABD66"/>
              </w:rPr>
              <w:t>1,405,884</w:t>
            </w:r>
          </w:p>
        </w:tc>
        <w:tc>
          <w:tcPr>
            <w:tcW w:w="76" w:type="dxa"/>
            <w:tcBorders/>
            <w:vAlign w:val="center"/>
          </w:tcPr>
          <w:p>
            <w:pPr>
              <w:pStyle w:val="TableContents"/>
              <w:bidi w:val="0"/>
              <w:spacing w:before="0" w:after="283"/>
              <w:jc w:val="left"/>
              <w:rPr>
                <w:color w:val="8ABD66"/>
              </w:rPr>
            </w:pPr>
            <w:r>
              <w:rPr>
                <w:color w:val="8ABD66"/>
              </w:rPr>
              <w:t> </w:t>
            </w:r>
          </w:p>
        </w:tc>
      </w:tr>
      <w:tr>
        <w:trPr/>
        <w:tc>
          <w:tcPr>
            <w:tcW w:w="1691" w:type="dxa"/>
            <w:vMerge w:val="restart"/>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Change-in-Control—</w:t>
            </w:r>
          </w:p>
          <w:p>
            <w:pPr>
              <w:pStyle w:val="TableContents"/>
              <w:bidi w:val="0"/>
              <w:spacing w:before="0" w:after="20"/>
              <w:jc w:val="left"/>
              <w:rPr>
                <w:rFonts w:ascii="Arial" w:hAnsi="Arial"/>
                <w:b/>
                <w:color w:val="191919"/>
                <w:sz w:val="17"/>
              </w:rPr>
            </w:pPr>
            <w:r>
              <w:rPr>
                <w:rFonts w:ascii="Arial" w:hAnsi="Arial"/>
                <w:b/>
                <w:color w:val="191919"/>
                <w:sz w:val="17"/>
              </w:rPr>
              <w:t>Employment Continues</w:t>
            </w:r>
          </w:p>
        </w:tc>
        <w:tc>
          <w:tcPr>
            <w:tcW w:w="120" w:type="dxa"/>
            <w:tcBorders/>
            <w:shd w:fill="EDEDED" w:val="clear"/>
            <w:vAlign w:val="center"/>
          </w:tcPr>
          <w:p>
            <w:pPr>
              <w:pStyle w:val="TableContents"/>
              <w:bidi w:val="0"/>
              <w:spacing w:before="0" w:after="283"/>
              <w:jc w:val="left"/>
              <w:rPr/>
            </w:pPr>
            <w:r>
              <w:rPr/>
              <w:t>  </w:t>
            </w:r>
          </w:p>
        </w:tc>
        <w:tc>
          <w:tcPr>
            <w:tcW w:w="1963"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Immediate vesting of equity awards(2)</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0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23,510,831</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2,584,954</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64"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1,402,702</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1,494,166</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shd w:fill="EDEDED" w:val="clear"/>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1,441,529</w:t>
            </w:r>
          </w:p>
        </w:tc>
        <w:tc>
          <w:tcPr>
            <w:tcW w:w="76"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r>
        <w:trPr/>
        <w:tc>
          <w:tcPr>
            <w:tcW w:w="1691" w:type="dxa"/>
            <w:vMerge w:val="continue"/>
            <w:tcBorders/>
            <w:shd w:fill="EDEDED" w:val="clear"/>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963" w:type="dxa"/>
            <w:tcBorders/>
            <w:shd w:fill="EDEDED" w:val="clear"/>
            <w:vAlign w:val="center"/>
          </w:tcPr>
          <w:p>
            <w:pPr>
              <w:pStyle w:val="TableContents"/>
              <w:bidi w:val="0"/>
              <w:spacing w:before="0" w:after="0"/>
              <w:jc w:val="left"/>
              <w:rPr>
                <w:rFonts w:ascii="Arial" w:hAnsi="Arial"/>
                <w:b/>
                <w:color w:val="8ABD66"/>
                <w:sz w:val="17"/>
              </w:rPr>
            </w:pPr>
            <w:r>
              <w:rPr>
                <w:rFonts w:ascii="Arial" w:hAnsi="Arial"/>
                <w:b/>
                <w:color w:val="8ABD66"/>
                <w:sz w:val="17"/>
              </w:rPr>
              <w:t>TOTAL</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100" w:type="dxa"/>
            <w:tcBorders/>
            <w:shd w:fill="EDEDED" w:val="clear"/>
            <w:vAlign w:val="center"/>
          </w:tcPr>
          <w:p>
            <w:pPr>
              <w:pStyle w:val="TableContents"/>
              <w:bidi w:val="0"/>
              <w:spacing w:before="0" w:after="283"/>
              <w:jc w:val="right"/>
              <w:rPr>
                <w:b/>
                <w:color w:val="8ABD66"/>
              </w:rPr>
            </w:pPr>
            <w:r>
              <w:rPr>
                <w:b/>
                <w:color w:val="8ABD66"/>
              </w:rPr>
              <w:t>23,510,831</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980" w:type="dxa"/>
            <w:tcBorders/>
            <w:shd w:fill="EDEDED" w:val="clear"/>
            <w:vAlign w:val="center"/>
          </w:tcPr>
          <w:p>
            <w:pPr>
              <w:pStyle w:val="TableContents"/>
              <w:bidi w:val="0"/>
              <w:spacing w:before="0" w:after="283"/>
              <w:jc w:val="right"/>
              <w:rPr>
                <w:b/>
                <w:color w:val="8ABD66"/>
              </w:rPr>
            </w:pPr>
            <w:r>
              <w:rPr>
                <w:b/>
                <w:color w:val="8ABD66"/>
              </w:rPr>
              <w:t>2,584,954</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8ABD66"/>
              </w:rPr>
            </w:pPr>
            <w:r>
              <w:rPr>
                <w:color w:val="8ABD66"/>
              </w:rPr>
              <w:t> </w:t>
            </w:r>
          </w:p>
        </w:tc>
        <w:tc>
          <w:tcPr>
            <w:tcW w:w="1164" w:type="dxa"/>
            <w:tcBorders/>
            <w:shd w:fill="EDEDED" w:val="clear"/>
            <w:vAlign w:val="center"/>
          </w:tcPr>
          <w:p>
            <w:pPr>
              <w:pStyle w:val="TableContents"/>
              <w:bidi w:val="0"/>
              <w:spacing w:before="0" w:after="283"/>
              <w:jc w:val="right"/>
              <w:rPr>
                <w:b/>
                <w:color w:val="8ABD66"/>
              </w:rPr>
            </w:pPr>
            <w:r>
              <w:rPr>
                <w:b/>
                <w:color w:val="8ABD66"/>
              </w:rPr>
              <w:t>1,402,702</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980" w:type="dxa"/>
            <w:tcBorders/>
            <w:shd w:fill="EDEDED" w:val="clear"/>
            <w:vAlign w:val="center"/>
          </w:tcPr>
          <w:p>
            <w:pPr>
              <w:pStyle w:val="TableContents"/>
              <w:bidi w:val="0"/>
              <w:spacing w:before="0" w:after="283"/>
              <w:jc w:val="right"/>
              <w:rPr>
                <w:b/>
                <w:color w:val="8ABD66"/>
              </w:rPr>
            </w:pPr>
            <w:r>
              <w:rPr>
                <w:b/>
                <w:color w:val="8ABD66"/>
              </w:rPr>
              <w:t>1,494,166</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8ABD66"/>
              </w:rPr>
            </w:pPr>
            <w:r>
              <w:rPr>
                <w:color w:val="8ABD66"/>
              </w:rPr>
              <w:t> </w:t>
            </w:r>
          </w:p>
        </w:tc>
        <w:tc>
          <w:tcPr>
            <w:tcW w:w="980" w:type="dxa"/>
            <w:tcBorders/>
            <w:shd w:fill="EDEDED" w:val="clear"/>
            <w:vAlign w:val="center"/>
          </w:tcPr>
          <w:p>
            <w:pPr>
              <w:pStyle w:val="TableContents"/>
              <w:bidi w:val="0"/>
              <w:spacing w:before="0" w:after="283"/>
              <w:jc w:val="right"/>
              <w:rPr>
                <w:b/>
                <w:color w:val="8ABD66"/>
              </w:rPr>
            </w:pPr>
            <w:r>
              <w:rPr>
                <w:b/>
                <w:color w:val="8ABD66"/>
              </w:rPr>
              <w:t>1,441,529</w:t>
            </w:r>
          </w:p>
        </w:tc>
        <w:tc>
          <w:tcPr>
            <w:tcW w:w="76" w:type="dxa"/>
            <w:tcBorders/>
            <w:shd w:fill="EDEDED" w:val="clear"/>
            <w:vAlign w:val="center"/>
          </w:tcPr>
          <w:p>
            <w:pPr>
              <w:pStyle w:val="TableContents"/>
              <w:bidi w:val="0"/>
              <w:spacing w:before="0" w:after="283"/>
              <w:jc w:val="left"/>
              <w:rPr>
                <w:color w:val="8ABD66"/>
              </w:rPr>
            </w:pPr>
            <w:r>
              <w:rPr>
                <w:color w:val="8ABD66"/>
              </w:rPr>
              <w:t> </w:t>
            </w:r>
          </w:p>
        </w:tc>
      </w:tr>
      <w:tr>
        <w:trPr/>
        <w:tc>
          <w:tcPr>
            <w:tcW w:w="1691" w:type="dxa"/>
            <w:vMerge w:val="restart"/>
            <w:tcBorders>
              <w:bottom w:val="single" w:sz="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Change-in-Control—</w:t>
            </w:r>
          </w:p>
          <w:p>
            <w:pPr>
              <w:pStyle w:val="TableContents"/>
              <w:bidi w:val="0"/>
              <w:spacing w:before="0" w:after="0"/>
              <w:jc w:val="left"/>
              <w:rPr>
                <w:rFonts w:ascii="Arial" w:hAnsi="Arial"/>
                <w:b/>
                <w:color w:val="191919"/>
                <w:sz w:val="17"/>
              </w:rPr>
            </w:pPr>
            <w:r>
              <w:rPr>
                <w:rFonts w:ascii="Arial" w:hAnsi="Arial"/>
                <w:b/>
                <w:color w:val="191919"/>
                <w:sz w:val="17"/>
              </w:rPr>
              <w:t>Termination Without</w:t>
            </w:r>
          </w:p>
          <w:p>
            <w:pPr>
              <w:pStyle w:val="TableContents"/>
              <w:bidi w:val="0"/>
              <w:spacing w:before="0" w:after="20"/>
              <w:jc w:val="left"/>
              <w:rPr>
                <w:rFonts w:ascii="Arial" w:hAnsi="Arial"/>
                <w:b/>
                <w:color w:val="191919"/>
                <w:sz w:val="17"/>
              </w:rPr>
            </w:pPr>
            <w:r>
              <w:rPr>
                <w:rFonts w:ascii="Arial" w:hAnsi="Arial"/>
                <w:b/>
                <w:color w:val="191919"/>
                <w:sz w:val="17"/>
              </w:rPr>
              <w:t>Cause by the Company</w:t>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Termination payment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6,382,500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1,823,024</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64"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1,452,000</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1,369,096</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1,369,096</w:t>
            </w:r>
          </w:p>
        </w:tc>
        <w:tc>
          <w:tcPr>
            <w:tcW w:w="76"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r>
        <w:trPr/>
        <w:tc>
          <w:tcPr>
            <w:tcW w:w="1691" w:type="dxa"/>
            <w:vMerge w:val="continue"/>
            <w:tcBorders>
              <w:bottom w:val="single" w:sz="6" w:space="0" w:color="7DB655"/>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Pro-rata annual incentive award (greater of target or last year actual)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1,202,500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391,512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286,000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244,548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244,548</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bottom w:val="single" w:sz="6" w:space="0" w:color="7DB655"/>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Immediate vesting of equity awards(2)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23,510,831</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2,584,954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1,402,702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1,494,166</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1,441,529</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bottom w:val="single" w:sz="6" w:space="0" w:color="7DB655"/>
            </w:tcBorders>
            <w:tcMar>
              <w:bottom w:w="8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963"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Health &amp; welfare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1100" w:type="dxa"/>
            <w:tcBorders/>
            <w:vAlign w:val="center"/>
          </w:tcPr>
          <w:p>
            <w:pPr>
              <w:pStyle w:val="TableContents"/>
              <w:bidi w:val="0"/>
              <w:spacing w:before="0" w:after="283"/>
              <w:jc w:val="right"/>
              <w:rPr>
                <w:color w:val="191919"/>
              </w:rPr>
            </w:pPr>
            <w:r>
              <w:rPr>
                <w:color w:val="191919"/>
              </w:rPr>
              <w:t>28,018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37,608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191919"/>
              </w:rPr>
            </w:pPr>
            <w:r>
              <w:rPr>
                <w:color w:val="191919"/>
              </w:rPr>
              <w:t> </w:t>
            </w:r>
          </w:p>
        </w:tc>
        <w:tc>
          <w:tcPr>
            <w:tcW w:w="1164" w:type="dxa"/>
            <w:tcBorders/>
            <w:vAlign w:val="center"/>
          </w:tcPr>
          <w:p>
            <w:pPr>
              <w:pStyle w:val="TableContents"/>
              <w:bidi w:val="0"/>
              <w:spacing w:before="0" w:after="283"/>
              <w:jc w:val="right"/>
              <w:rPr>
                <w:color w:val="191919"/>
              </w:rPr>
            </w:pPr>
            <w:r>
              <w:rPr>
                <w:color w:val="191919"/>
              </w:rPr>
              <w:t>43,916</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47,526</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191919"/>
              </w:rPr>
            </w:pPr>
            <w:r>
              <w:rPr>
                <w:color w:val="191919"/>
              </w:rPr>
              <w:t> </w:t>
            </w:r>
          </w:p>
        </w:tc>
        <w:tc>
          <w:tcPr>
            <w:tcW w:w="980" w:type="dxa"/>
            <w:tcBorders/>
            <w:vAlign w:val="center"/>
          </w:tcPr>
          <w:p>
            <w:pPr>
              <w:pStyle w:val="TableContents"/>
              <w:bidi w:val="0"/>
              <w:spacing w:before="0" w:after="283"/>
              <w:jc w:val="right"/>
              <w:rPr>
                <w:color w:val="191919"/>
              </w:rPr>
            </w:pPr>
            <w:r>
              <w:rPr>
                <w:color w:val="191919"/>
              </w:rPr>
              <w:t>47,526</w:t>
            </w:r>
          </w:p>
        </w:tc>
        <w:tc>
          <w:tcPr>
            <w:tcW w:w="76" w:type="dxa"/>
            <w:tcBorders/>
            <w:vAlign w:val="center"/>
          </w:tcPr>
          <w:p>
            <w:pPr>
              <w:pStyle w:val="TableContents"/>
              <w:bidi w:val="0"/>
              <w:spacing w:before="0" w:after="283"/>
              <w:jc w:val="left"/>
              <w:rPr>
                <w:color w:val="191919"/>
              </w:rPr>
            </w:pPr>
            <w:r>
              <w:rPr>
                <w:color w:val="191919"/>
              </w:rPr>
              <w:t> </w:t>
            </w:r>
          </w:p>
        </w:tc>
      </w:tr>
      <w:tr>
        <w:trPr/>
        <w:tc>
          <w:tcPr>
            <w:tcW w:w="1691" w:type="dxa"/>
            <w:vMerge w:val="continue"/>
            <w:tcBorders>
              <w:bottom w:val="single" w:sz="6" w:space="0" w:color="7DB655"/>
            </w:tcBorders>
            <w:tcMar>
              <w:bottom w:w="80" w:type="dxa"/>
            </w:tcMar>
            <w:vAlign w:val="center"/>
          </w:tcPr>
          <w:p>
            <w:pPr>
              <w:pStyle w:val="Normal"/>
              <w:bidi w:val="0"/>
              <w:jc w:val="left"/>
              <w:rPr/>
            </w:pPr>
            <w:r>
              <w:rPr/>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963" w:type="dxa"/>
            <w:tcBorders>
              <w:bottom w:val="single" w:sz="6" w:space="0" w:color="7DB655"/>
            </w:tcBorders>
            <w:tcMar>
              <w:bottom w:w="80" w:type="dxa"/>
            </w:tcMar>
            <w:vAlign w:val="center"/>
          </w:tcPr>
          <w:p>
            <w:pPr>
              <w:pStyle w:val="TableContents"/>
              <w:bidi w:val="0"/>
              <w:spacing w:before="0" w:after="0"/>
              <w:jc w:val="left"/>
              <w:rPr>
                <w:rFonts w:ascii="Arial" w:hAnsi="Arial"/>
                <w:b/>
                <w:color w:val="8ABD66"/>
                <w:sz w:val="17"/>
              </w:rPr>
            </w:pPr>
            <w:r>
              <w:rPr>
                <w:rFonts w:ascii="Arial" w:hAnsi="Arial"/>
                <w:b/>
                <w:color w:val="8ABD66"/>
                <w:sz w:val="17"/>
              </w:rPr>
              <w:t>TOTAL</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1100" w:type="dxa"/>
            <w:tcBorders>
              <w:bottom w:val="single" w:sz="6" w:space="0" w:color="7DB655"/>
            </w:tcBorders>
            <w:tcMar>
              <w:bottom w:w="80" w:type="dxa"/>
            </w:tcMar>
            <w:vAlign w:val="center"/>
          </w:tcPr>
          <w:p>
            <w:pPr>
              <w:pStyle w:val="TableContents"/>
              <w:bidi w:val="0"/>
              <w:spacing w:before="0" w:after="283"/>
              <w:jc w:val="right"/>
              <w:rPr>
                <w:b/>
                <w:color w:val="8ABD66"/>
              </w:rPr>
            </w:pPr>
            <w:r>
              <w:rPr>
                <w:b/>
                <w:color w:val="8ABD66"/>
              </w:rPr>
              <w:t>31,123,849</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980" w:type="dxa"/>
            <w:tcBorders>
              <w:bottom w:val="single" w:sz="6" w:space="0" w:color="7DB655"/>
            </w:tcBorders>
            <w:tcMar>
              <w:bottom w:w="80" w:type="dxa"/>
            </w:tcMar>
            <w:vAlign w:val="center"/>
          </w:tcPr>
          <w:p>
            <w:pPr>
              <w:pStyle w:val="TableContents"/>
              <w:bidi w:val="0"/>
              <w:spacing w:before="0" w:after="283"/>
              <w:jc w:val="right"/>
              <w:rPr>
                <w:b/>
                <w:color w:val="8ABD66"/>
              </w:rPr>
            </w:pPr>
            <w:r>
              <w:rPr>
                <w:b/>
                <w:color w:val="8ABD66"/>
              </w:rPr>
              <w:t>4,837,098</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71"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1164" w:type="dxa"/>
            <w:tcBorders>
              <w:bottom w:val="single" w:sz="6" w:space="0" w:color="7DB655"/>
            </w:tcBorders>
            <w:tcMar>
              <w:bottom w:w="80" w:type="dxa"/>
            </w:tcMar>
            <w:vAlign w:val="center"/>
          </w:tcPr>
          <w:p>
            <w:pPr>
              <w:pStyle w:val="TableContents"/>
              <w:bidi w:val="0"/>
              <w:spacing w:before="0" w:after="283"/>
              <w:jc w:val="right"/>
              <w:rPr>
                <w:b/>
                <w:color w:val="8ABD66"/>
              </w:rPr>
            </w:pPr>
            <w:r>
              <w:rPr>
                <w:b/>
                <w:color w:val="8ABD66"/>
              </w:rPr>
              <w:t>3,184,618</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980" w:type="dxa"/>
            <w:tcBorders>
              <w:bottom w:val="single" w:sz="6" w:space="0" w:color="7DB655"/>
            </w:tcBorders>
            <w:tcMar>
              <w:bottom w:w="80" w:type="dxa"/>
            </w:tcMar>
            <w:vAlign w:val="center"/>
          </w:tcPr>
          <w:p>
            <w:pPr>
              <w:pStyle w:val="TableContents"/>
              <w:bidi w:val="0"/>
              <w:spacing w:before="0" w:after="283"/>
              <w:jc w:val="right"/>
              <w:rPr>
                <w:b/>
                <w:color w:val="8ABD66"/>
              </w:rPr>
            </w:pPr>
            <w:r>
              <w:rPr>
                <w:b/>
                <w:color w:val="8ABD66"/>
              </w:rPr>
              <w:t>3,155,336</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c>
          <w:tcPr>
            <w:tcW w:w="980" w:type="dxa"/>
            <w:tcBorders>
              <w:bottom w:val="single" w:sz="6" w:space="0" w:color="7DB655"/>
            </w:tcBorders>
            <w:tcMar>
              <w:bottom w:w="80" w:type="dxa"/>
            </w:tcMar>
            <w:vAlign w:val="center"/>
          </w:tcPr>
          <w:p>
            <w:pPr>
              <w:pStyle w:val="TableContents"/>
              <w:bidi w:val="0"/>
              <w:spacing w:before="0" w:after="283"/>
              <w:jc w:val="right"/>
              <w:rPr>
                <w:b/>
                <w:color w:val="8ABD66"/>
              </w:rPr>
            </w:pPr>
            <w:r>
              <w:rPr>
                <w:b/>
                <w:color w:val="8ABD66"/>
              </w:rPr>
              <w:t>3,102,699</w:t>
            </w:r>
          </w:p>
        </w:tc>
        <w:tc>
          <w:tcPr>
            <w:tcW w:w="76" w:type="dxa"/>
            <w:tcBorders>
              <w:bottom w:val="single" w:sz="6" w:space="0" w:color="7DB655"/>
            </w:tcBorders>
            <w:tcMar>
              <w:bottom w:w="80" w:type="dxa"/>
            </w:tcMar>
            <w:vAlign w:val="center"/>
          </w:tcPr>
          <w:p>
            <w:pPr>
              <w:pStyle w:val="TableContents"/>
              <w:bidi w:val="0"/>
              <w:spacing w:before="0" w:after="283"/>
              <w:jc w:val="left"/>
              <w:rPr>
                <w:color w:val="8ABD66"/>
              </w:rPr>
            </w:pPr>
            <w:r>
              <w:rPr>
                <w:color w:val="8ABD66"/>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i/>
                <w:color w:val="191919"/>
              </w:rPr>
            </w:pPr>
            <w:r>
              <w:rPr>
                <w:i/>
                <w:color w:val="191919"/>
              </w:rPr>
              <w:t>(1)</w:t>
            </w:r>
          </w:p>
        </w:tc>
        <w:tc>
          <w:tcPr>
            <w:tcW w:w="9943"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Amounts shown for Mr. Armes are determined in accordance with the terms of his employment agreement, discussed under “Chief Executive Officer Compensation in Fiscal 2026,” as well as the CIC and Severance Plan. Where benefits between the employment agreement and the CIC and Severance Plan overlap, the highest potential amount is shown.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i/>
                <w:color w:val="191919"/>
              </w:rPr>
            </w:pPr>
            <w:r>
              <w:rPr>
                <w:i/>
                <w:color w:val="191919"/>
              </w:rPr>
              <w:t>(2)</w:t>
            </w:r>
          </w:p>
        </w:tc>
        <w:tc>
          <w:tcPr>
            <w:tcW w:w="9949"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These amounts are calculated assuming that the market price per share of the Company’s common stock on the date of the event was equal to the closing price of the Company’s common stock on March 31, 2026 ($260.58), the last trading day of fiscal 2026. Additionally, it assumes that, for performance shares that have not vested, the performance conditions are satisfied at target (100%) vesting at the time of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color w:val="191919"/>
              </w:rPr>
            </w:pPr>
            <w:r>
              <w:rPr>
                <w:i/>
                <w:color w:val="191919"/>
              </w:rPr>
              <w:t>(3)</w:t>
            </w:r>
          </w:p>
        </w:tc>
        <w:tc>
          <w:tcPr>
            <w:tcW w:w="993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Pursuant to Mr. Armes’ employment agreement, all unvested equity awards vest immediately in this termination scenario. For the other NEOs under the CIC &amp; Severance Plan, the shares vesting within one year following termination automatically vest. </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61"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28" descr=""/>
                          <pic:cNvPicPr>
                            <a:picLocks noChangeAspect="1" noChangeArrowheads="1"/>
                          </pic:cNvPicPr>
                        </pic:nvPicPr>
                        <pic:blipFill>
                          <a:blip r:embed="rId33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CEO Pay Ratio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50" w:name="txa136145_17"/>
      <w:bookmarkStart w:id="51" w:name="toc36145_26"/>
      <w:bookmarkEnd w:id="50"/>
      <w:bookmarkEnd w:id="51"/>
      <w:r>
        <w:rPr>
          <w:rFonts w:ascii="Arial" w:hAnsi="Arial"/>
          <w:b/>
          <w:color w:val="7DB655"/>
          <w:sz w:val="30"/>
        </w:rPr>
        <w:t xml:space="preserve">CEO Pay Ratio </w:t>
      </w:r>
    </w:p>
    <w:p>
      <w:pPr>
        <w:pStyle w:val="TextBody"/>
        <w:bidi w:val="0"/>
        <w:spacing w:before="240" w:after="0"/>
        <w:jc w:val="left"/>
        <w:rPr>
          <w:rFonts w:ascii="Arial" w:hAnsi="Arial"/>
          <w:b/>
          <w:color w:val="191919"/>
          <w:sz w:val="26"/>
        </w:rPr>
      </w:pPr>
      <w:r>
        <w:rPr>
          <w:rFonts w:ascii="Arial" w:hAnsi="Arial"/>
          <w:b/>
          <w:color w:val="191919"/>
          <w:sz w:val="26"/>
        </w:rPr>
        <w:t xml:space="preserve">Determination Date and Measurement Period </w:t>
      </w:r>
    </w:p>
    <w:p>
      <w:pPr>
        <w:pStyle w:val="TextBody"/>
        <w:bidi w:val="0"/>
        <w:spacing w:before="240" w:after="0"/>
        <w:jc w:val="left"/>
        <w:rPr>
          <w:rFonts w:ascii="Arial" w:hAnsi="Arial"/>
          <w:color w:val="191919"/>
          <w:sz w:val="18"/>
        </w:rPr>
      </w:pPr>
      <w:r>
        <w:rPr>
          <w:rFonts w:ascii="Arial" w:hAnsi="Arial"/>
          <w:color w:val="191919"/>
          <w:sz w:val="18"/>
        </w:rPr>
        <w:t xml:space="preserve">We used the fiscal year ended March 31, 2026 as the compensation measurement period to determine the median of the annual total compensation of all of our employees and those of our consolidated subsidiaries other than Mr. Armes (“Median Annual Compensation”). We identified our employee who received the Median Annual Compensation (the “Median Employee”) as of March 31, 2026 (the “Determination Date”). </w:t>
      </w:r>
    </w:p>
    <w:p>
      <w:pPr>
        <w:pStyle w:val="TextBody"/>
        <w:bidi w:val="0"/>
        <w:spacing w:before="360" w:after="0"/>
        <w:jc w:val="left"/>
        <w:rPr>
          <w:rFonts w:ascii="Arial" w:hAnsi="Arial"/>
          <w:b/>
          <w:color w:val="191919"/>
          <w:sz w:val="26"/>
        </w:rPr>
      </w:pPr>
      <w:r>
        <w:rPr>
          <w:rFonts w:ascii="Arial" w:hAnsi="Arial"/>
          <w:b/>
          <w:color w:val="191919"/>
          <w:sz w:val="26"/>
        </w:rPr>
        <w:t xml:space="preserve">Median Employee Identification and Compensation Calculation </w:t>
      </w:r>
    </w:p>
    <w:p>
      <w:pPr>
        <w:pStyle w:val="TextBody"/>
        <w:bidi w:val="0"/>
        <w:spacing w:before="240" w:after="0"/>
        <w:jc w:val="left"/>
        <w:rPr>
          <w:rFonts w:ascii="Arial" w:hAnsi="Arial"/>
          <w:color w:val="191919"/>
          <w:sz w:val="18"/>
        </w:rPr>
      </w:pPr>
      <w:r>
        <w:rPr>
          <w:rFonts w:ascii="Arial" w:hAnsi="Arial"/>
          <w:color w:val="191919"/>
          <w:sz w:val="18"/>
        </w:rPr>
        <w:t xml:space="preserve">As of the Determination Date, we had approximately 2,700 employees, including approximately 1,200 located in Vietnam. This employee pool includes all full-time, part-time, seasonal, and temporary employees of the Company and its subsidiaries. This number does not include any independent contractors or “leased” workers. For purposes of identifying the Median Employee this year, we excluded 15 employees from the pool, representing all of our employees in Australia (7) and the UK (8), using the permitted “de minimis” exception. </w:t>
      </w:r>
    </w:p>
    <w:p>
      <w:pPr>
        <w:pStyle w:val="TextBody"/>
        <w:bidi w:val="0"/>
        <w:spacing w:before="240" w:after="0"/>
        <w:jc w:val="left"/>
        <w:rPr>
          <w:rFonts w:ascii="Arial" w:hAnsi="Arial"/>
          <w:color w:val="191919"/>
          <w:sz w:val="18"/>
        </w:rPr>
      </w:pPr>
      <w:r>
        <w:rPr>
          <w:rFonts w:ascii="Arial" w:hAnsi="Arial"/>
          <w:color w:val="191919"/>
          <w:sz w:val="18"/>
        </w:rPr>
        <w:t xml:space="preserve">We calculated the Median Annual Compensation by totaling all applicable elements of compensation for our employees consistent with the methodology used for our NEOs set forth in the “Summary Compensation Table.” This includes taxable wages per payroll records and as reported to authorities, which reflect, among other things, salary, wages, bonuses, and stock compensation, if any. Compensation paid in foreign currencies was converted to U.S. dollars based on the exchange rate in effect at the end of fiscal 2026. We did not make any cost-of-living adjustments in calculating the Median Annual Compensation or in identifying the Median Employee. </w:t>
      </w:r>
    </w:p>
    <w:p>
      <w:pPr>
        <w:pStyle w:val="TextBody"/>
        <w:bidi w:val="0"/>
        <w:spacing w:before="240" w:after="0"/>
        <w:jc w:val="left"/>
        <w:rPr>
          <w:rFonts w:ascii="Arial" w:hAnsi="Arial"/>
          <w:color w:val="191919"/>
          <w:sz w:val="18"/>
        </w:rPr>
      </w:pPr>
      <w:r>
        <w:rPr>
          <w:rFonts w:ascii="Arial" w:hAnsi="Arial"/>
          <w:color w:val="191919"/>
          <w:sz w:val="18"/>
        </w:rPr>
        <w:t xml:space="preserve">A portion of our permanent employee workforce (full-time and part-time) worked for less than the full year because, among other things, they commenced employment after the beginning of the year or took an unpaid leave of absence. In determining our Median Employee, we annualized the total compensation for those individuals (but not for individuals in temporary or seasonal positions). </w:t>
      </w:r>
    </w:p>
    <w:p>
      <w:pPr>
        <w:pStyle w:val="TextBody"/>
        <w:bidi w:val="0"/>
        <w:spacing w:before="240" w:after="0"/>
        <w:jc w:val="left"/>
        <w:rPr>
          <w:rFonts w:ascii="Arial" w:hAnsi="Arial"/>
          <w:color w:val="191919"/>
          <w:sz w:val="18"/>
        </w:rPr>
      </w:pPr>
      <w:r>
        <w:rPr>
          <w:rFonts w:ascii="Arial" w:hAnsi="Arial"/>
          <w:color w:val="191919"/>
          <w:sz w:val="18"/>
        </w:rPr>
        <w:t xml:space="preserve">Based on the above methodology, our Median Employee was identified as an hourly manufacturing team member located in the U.S., and their Median Annual Compensation for fiscal 2026 was $37,371. For additional context, the Median Annual Compensation among our North American employees for fiscal 2026 was $68,649. </w:t>
      </w:r>
    </w:p>
    <w:p>
      <w:pPr>
        <w:pStyle w:val="TextBody"/>
        <w:bidi w:val="0"/>
        <w:spacing w:before="360" w:after="0"/>
        <w:jc w:val="left"/>
        <w:rPr>
          <w:rFonts w:ascii="Arial" w:hAnsi="Arial"/>
          <w:b/>
          <w:color w:val="191919"/>
          <w:sz w:val="26"/>
        </w:rPr>
      </w:pPr>
      <w:r>
        <w:rPr>
          <w:rFonts w:ascii="Arial" w:hAnsi="Arial"/>
          <w:b/>
          <w:color w:val="191919"/>
          <w:sz w:val="26"/>
        </w:rPr>
        <w:t xml:space="preserve">CEO Compensation </w:t>
      </w:r>
    </w:p>
    <w:p>
      <w:pPr>
        <w:pStyle w:val="TextBody"/>
        <w:bidi w:val="0"/>
        <w:spacing w:before="240" w:after="0"/>
        <w:jc w:val="left"/>
        <w:rPr>
          <w:rFonts w:ascii="Arial" w:hAnsi="Arial"/>
          <w:color w:val="191919"/>
          <w:sz w:val="18"/>
        </w:rPr>
      </w:pPr>
      <w:r>
        <w:rPr>
          <w:rFonts w:ascii="Arial" w:hAnsi="Arial"/>
          <w:color w:val="191919"/>
          <w:sz w:val="18"/>
        </w:rPr>
        <w:t xml:space="preserve">For fiscal 2026, the annual total compensation of Mr. Armes, our CEO, was $7,273,615, calculated using the total of all applicable compensation elements reported in the “Summary Compensation Table” (“CEO Compensation”). </w:t>
      </w:r>
    </w:p>
    <w:p>
      <w:pPr>
        <w:pStyle w:val="TextBody"/>
        <w:bidi w:val="0"/>
        <w:spacing w:before="360" w:after="0"/>
        <w:jc w:val="left"/>
        <w:rPr>
          <w:rFonts w:ascii="Arial" w:hAnsi="Arial"/>
          <w:b/>
          <w:color w:val="191919"/>
          <w:sz w:val="26"/>
        </w:rPr>
      </w:pPr>
      <w:r>
        <w:rPr>
          <w:rFonts w:ascii="Arial" w:hAnsi="Arial"/>
          <w:b/>
          <w:color w:val="191919"/>
          <w:sz w:val="26"/>
        </w:rPr>
        <w:t xml:space="preserve">Pay Ratio </w:t>
      </w:r>
    </w:p>
    <w:p>
      <w:pPr>
        <w:pStyle w:val="TextBody"/>
        <w:bidi w:val="0"/>
        <w:spacing w:before="240" w:after="0"/>
        <w:jc w:val="left"/>
        <w:rPr>
          <w:rFonts w:ascii="Arial" w:hAnsi="Arial"/>
          <w:color w:val="191919"/>
          <w:sz w:val="18"/>
        </w:rPr>
      </w:pPr>
      <w:r>
        <w:rPr>
          <w:rFonts w:ascii="Arial" w:hAnsi="Arial"/>
          <w:color w:val="191919"/>
          <w:sz w:val="18"/>
        </w:rPr>
        <w:t xml:space="preserve">For fiscal 2026, the ratio of CEO Compensation to the Median Annual Compensation was 194.6 to 1. </w:t>
      </w:r>
    </w:p>
    <w:p>
      <w:pPr>
        <w:pStyle w:val="TextBody"/>
        <w:bidi w:val="0"/>
        <w:spacing w:before="240" w:after="0"/>
        <w:jc w:val="left"/>
        <w:rPr>
          <w:rFonts w:ascii="Arial" w:hAnsi="Arial"/>
          <w:color w:val="191919"/>
          <w:sz w:val="18"/>
        </w:rPr>
      </w:pPr>
      <w:r>
        <w:rPr>
          <w:rFonts w:ascii="Arial" w:hAnsi="Arial"/>
          <w:color w:val="191919"/>
          <w:sz w:val="18"/>
        </w:rPr>
        <w:t xml:space="preserve">This CEO Compensation to the Median Annual Compensation ratio is a reasonable good faith estimate calculated in a manner consistent with SEC regulations using the data and assumptions summarized above. The assumptions we used are specific to our Company and our employee population. Because the SEC’s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 </w:t>
      </w:r>
    </w:p>
    <w:p>
      <w:pPr>
        <w:pStyle w:val="TextBody"/>
        <w:bidi w:val="0"/>
        <w:spacing w:before="240" w:after="0"/>
        <w:jc w:val="left"/>
        <w:rPr>
          <w:rFonts w:ascii="Arial" w:hAnsi="Arial"/>
          <w:color w:val="191919"/>
          <w:sz w:val="18"/>
        </w:rPr>
      </w:pPr>
      <w:r>
        <w:rPr>
          <w:rFonts w:ascii="Arial" w:hAnsi="Arial"/>
          <w:color w:val="191919"/>
          <w:sz w:val="18"/>
        </w:rPr>
        <w:t xml:space="preserve">Additionally, our pay ratio is not an element that the Compensation Committee considers in setting CEO compensation, nor is CEO Compensation a material element that management considers in making compensation decisions for non-officer employees. </w:t>
      </w:r>
    </w:p>
    <w:p>
      <w:pPr>
        <w:pStyle w:val="TextBody"/>
        <w:bidi w:val="0"/>
        <w:spacing w:before="0" w:after="0"/>
        <w:jc w:val="left"/>
        <w:rPr/>
      </w:pPr>
      <w:r>
        <w:rPr/>
        <w:t>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62"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29" descr=""/>
                          <pic:cNvPicPr>
                            <a:picLocks noChangeAspect="1" noChangeArrowheads="1"/>
                          </pic:cNvPicPr>
                        </pic:nvPicPr>
                        <pic:blipFill>
                          <a:blip r:embed="rId33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Executive Compensation </w:t>
      </w:r>
    </w:p>
    <w:p>
      <w:pPr>
        <w:pStyle w:val="TextBody"/>
        <w:bidi w:val="0"/>
        <w:spacing w:before="0" w:after="0"/>
        <w:jc w:val="right"/>
        <w:rPr>
          <w:rFonts w:ascii="Arial" w:hAnsi="Arial"/>
          <w:sz w:val="16"/>
        </w:rPr>
      </w:pPr>
      <w:r>
        <w:rPr>
          <w:rFonts w:ascii="Arial" w:hAnsi="Arial"/>
          <w:sz w:val="16"/>
        </w:rPr>
        <w:t xml:space="preserve">Pay Versus Performance Disclosure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7DB655"/>
          <w:sz w:val="30"/>
        </w:rPr>
      </w:pPr>
      <w:r>
        <w:rPr>
          <w:rFonts w:ascii="Arial" w:hAnsi="Arial"/>
          <w:b/>
          <w:color w:val="7DB655"/>
          <w:sz w:val="30"/>
        </w:rPr>
        <w:t xml:space="preserve">Pay Versus Performance Disclosure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color w:val="191919"/>
          <w:sz w:val="16"/>
        </w:rPr>
      </w:pPr>
      <w:r>
        <w:rPr>
          <w:rFonts w:ascii="Arial" w:hAnsi="Arial"/>
          <w:color w:val="191919"/>
          <w:sz w:val="16"/>
        </w:rPr>
        <w:t xml:space="preserve">The following table sets forth required disclosures regarding our principal executive officer (“PEO”) and </w:t>
      </w:r>
    </w:p>
    <w:p>
      <w:pPr>
        <w:pStyle w:val="TextBody"/>
        <w:bidi w:val="0"/>
        <w:spacing w:before="120" w:after="0"/>
        <w:jc w:val="left"/>
        <w:rPr>
          <w:rFonts w:ascii="Arial" w:hAnsi="Arial"/>
          <w:color w:val="191919"/>
          <w:sz w:val="16"/>
        </w:rPr>
      </w:pPr>
      <w:r>
        <w:rPr>
          <w:rFonts w:ascii="Arial" w:hAnsi="Arial"/>
          <w:color w:val="191919"/>
          <w:sz w:val="16"/>
        </w:rPr>
        <w:t>Non-PEO</w:t>
      </w:r>
    </w:p>
    <w:p>
      <w:pPr>
        <w:pStyle w:val="TextBody"/>
        <w:bidi w:val="0"/>
        <w:spacing w:before="120" w:after="0"/>
        <w:jc w:val="left"/>
        <w:rPr>
          <w:rFonts w:ascii="Arial" w:hAnsi="Arial"/>
          <w:color w:val="191919"/>
          <w:sz w:val="16"/>
        </w:rPr>
      </w:pPr>
      <w:r>
        <w:rPr>
          <w:rFonts w:ascii="Arial" w:hAnsi="Arial"/>
          <w:color w:val="191919"/>
          <w:sz w:val="16"/>
        </w:rPr>
        <w:t xml:space="preserve">NEOs and Company performance for the fiscal years listed below. </w:t>
      </w:r>
    </w:p>
    <w:p>
      <w:pPr>
        <w:pStyle w:val="TextBody"/>
        <w:bidi w:val="0"/>
        <w:spacing w:before="120" w:after="0"/>
        <w:jc w:val="left"/>
        <w:rPr>
          <w:rFonts w:ascii="Arial" w:hAnsi="Arial"/>
          <w:color w:val="191919"/>
          <w:sz w:val="16"/>
        </w:rPr>
      </w:pPr>
      <w:r>
        <w:rPr>
          <w:rFonts w:ascii="Arial" w:hAnsi="Arial"/>
          <w:color w:val="191919"/>
          <w:sz w:val="16"/>
        </w:rPr>
        <w:t xml:space="preserve">These required disclosures include a figure labeled “Compensation Actually Paid” (“CAP”), which is calculated pursuant to SEC disclosure requirements. While CAP includes some compensation elements that are actually paid by the Company and received by the NEOs (namely, base salary and AIP payments), CAP includes amounts that the Company did not actually pay to the NEOs in the fiscal years below and that the NEOs did not receive from the Company. As such, CAP is not equivalent to realized pay. </w:t>
      </w:r>
    </w:p>
    <w:p>
      <w:pPr>
        <w:pStyle w:val="TextBody"/>
        <w:bidi w:val="0"/>
        <w:spacing w:before="120" w:after="0"/>
        <w:jc w:val="left"/>
        <w:rPr>
          <w:rFonts w:ascii="Arial" w:hAnsi="Arial"/>
          <w:color w:val="191919"/>
          <w:sz w:val="16"/>
        </w:rPr>
      </w:pPr>
      <w:r>
        <w:rPr>
          <w:rFonts w:ascii="Arial" w:hAnsi="Arial"/>
          <w:color w:val="191919"/>
          <w:sz w:val="16"/>
        </w:rPr>
        <w:t xml:space="preserve">The Compensation Committee did not consider these disclosures in evaluating compensation decisions in any year shown. For a fulsome discussion of how the Compensation Committee does seek to align executive pay with Company performance when making compensation decisions, please refer to “The Compensation Decision Making Process” and “Executive Compensation Program” in the CD&amp;A. </w:t>
      </w:r>
    </w:p>
    <w:p>
      <w:pPr>
        <w:pStyle w:val="TextBody"/>
        <w:bidi w:val="0"/>
        <w:spacing w:before="0" w:after="0"/>
        <w:jc w:val="left"/>
        <w:rPr/>
      </w:pPr>
      <w:r>
        <w:rPr/>
        <w:t> </w:t>
      </w:r>
    </w:p>
    <w:tbl>
      <w:tblPr>
        <w:tblW w:w="9470" w:type="dxa"/>
        <w:jc w:val="left"/>
        <w:tblInd w:w="0" w:type="dxa"/>
        <w:tblLayout w:type="fixed"/>
        <w:tblCellMar>
          <w:top w:w="0" w:type="dxa"/>
          <w:left w:w="0" w:type="dxa"/>
          <w:bottom w:w="0" w:type="dxa"/>
          <w:right w:w="0" w:type="dxa"/>
        </w:tblCellMar>
      </w:tblPr>
      <w:tblGrid>
        <w:gridCol w:w="395"/>
        <w:gridCol w:w="60"/>
        <w:gridCol w:w="73"/>
        <w:gridCol w:w="73"/>
        <w:gridCol w:w="1015"/>
        <w:gridCol w:w="29"/>
        <w:gridCol w:w="60"/>
        <w:gridCol w:w="73"/>
        <w:gridCol w:w="73"/>
        <w:gridCol w:w="1015"/>
        <w:gridCol w:w="29"/>
        <w:gridCol w:w="60"/>
        <w:gridCol w:w="80"/>
        <w:gridCol w:w="80"/>
        <w:gridCol w:w="997"/>
        <w:gridCol w:w="33"/>
        <w:gridCol w:w="60"/>
        <w:gridCol w:w="80"/>
        <w:gridCol w:w="80"/>
        <w:gridCol w:w="997"/>
        <w:gridCol w:w="33"/>
        <w:gridCol w:w="60"/>
        <w:gridCol w:w="66"/>
        <w:gridCol w:w="66"/>
        <w:gridCol w:w="574"/>
        <w:gridCol w:w="25"/>
        <w:gridCol w:w="66"/>
        <w:gridCol w:w="66"/>
        <w:gridCol w:w="66"/>
        <w:gridCol w:w="574"/>
        <w:gridCol w:w="32"/>
        <w:gridCol w:w="60"/>
        <w:gridCol w:w="93"/>
        <w:gridCol w:w="93"/>
        <w:gridCol w:w="949"/>
        <w:gridCol w:w="37"/>
        <w:gridCol w:w="60"/>
        <w:gridCol w:w="92"/>
        <w:gridCol w:w="92"/>
        <w:gridCol w:w="943"/>
        <w:gridCol w:w="61"/>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395" w:type="dxa"/>
            <w:vMerge w:val="restart"/>
            <w:tcBorders>
              <w:bottom w:val="single" w:sz="56" w:space="0" w:color="7DB655"/>
            </w:tcBorders>
            <w:tcMar>
              <w:bottom w:w="28"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Year</w:t>
            </w:r>
          </w:p>
          <w:p>
            <w:pPr>
              <w:pStyle w:val="TableContents"/>
              <w:bidi w:val="0"/>
              <w:spacing w:before="0" w:after="20"/>
              <w:jc w:val="left"/>
              <w:rPr/>
            </w:pPr>
            <w:r>
              <w:rPr/>
              <w:t> </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gridSpan w:val="4"/>
            <w:vMerge w:val="restart"/>
            <w:tcBorders>
              <w:bottom w:val="single" w:sz="56" w:space="0" w:color="7DB655"/>
            </w:tcBorders>
            <w:tcMar>
              <w:bottom w:w="28"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Summary</w:t>
              <w:br/>
              <w:t>Compensation</w:t>
              <w:br/>
              <w:t>Table Total for</w:t>
              <w:br/>
              <w:t>PEO</w:t>
            </w:r>
          </w:p>
          <w:p>
            <w:pPr>
              <w:pStyle w:val="TableContents"/>
              <w:bidi w:val="0"/>
              <w:spacing w:before="0" w:after="0"/>
              <w:jc w:val="center"/>
              <w:rPr>
                <w:rFonts w:ascii="Arial" w:hAnsi="Arial"/>
                <w:b/>
                <w:color w:val="191919"/>
                <w:sz w:val="9"/>
              </w:rPr>
            </w:pPr>
            <w:r>
              <w:rPr>
                <w:rFonts w:ascii="Arial" w:hAnsi="Arial"/>
                <w:b/>
                <w:color w:val="191919"/>
                <w:sz w:val="9"/>
              </w:rPr>
              <w:t>(1)</w:t>
            </w:r>
          </w:p>
          <w:p>
            <w:pPr>
              <w:pStyle w:val="TableContents"/>
              <w:bidi w:val="0"/>
              <w:spacing w:before="0" w:after="0"/>
              <w:jc w:val="center"/>
              <w:rPr>
                <w:rFonts w:ascii="Arial" w:hAnsi="Arial"/>
                <w:b/>
                <w:color w:val="191919"/>
                <w:sz w:val="16"/>
              </w:rPr>
            </w:pPr>
            <w:r>
              <w:rPr>
                <w:rFonts w:ascii="Arial" w:hAnsi="Arial"/>
                <w:b/>
                <w:color w:val="191919"/>
                <w:sz w:val="16"/>
              </w:rPr>
              <w:t>($)</w:t>
            </w:r>
          </w:p>
          <w:p>
            <w:pPr>
              <w:pStyle w:val="TableContents"/>
              <w:bidi w:val="0"/>
              <w:spacing w:before="0" w:after="20"/>
              <w:jc w:val="left"/>
              <w:rPr/>
            </w:pPr>
            <w:r>
              <w:rPr/>
              <w:t> </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gridSpan w:val="4"/>
            <w:vMerge w:val="restart"/>
            <w:tcBorders>
              <w:bottom w:val="single" w:sz="56" w:space="0" w:color="7DB655"/>
            </w:tcBorders>
            <w:tcMar>
              <w:bottom w:w="28"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Compensation</w:t>
              <w:br/>
              <w:t>Actually Paid</w:t>
              <w:br/>
              <w:t>to PEO</w:t>
            </w:r>
          </w:p>
          <w:p>
            <w:pPr>
              <w:pStyle w:val="TableContents"/>
              <w:bidi w:val="0"/>
              <w:spacing w:before="0" w:after="0"/>
              <w:jc w:val="center"/>
              <w:rPr>
                <w:rFonts w:ascii="Arial" w:hAnsi="Arial"/>
                <w:b/>
                <w:color w:val="191919"/>
                <w:sz w:val="9"/>
              </w:rPr>
            </w:pPr>
            <w:r>
              <w:rPr>
                <w:rFonts w:ascii="Arial" w:hAnsi="Arial"/>
                <w:b/>
                <w:color w:val="191919"/>
                <w:sz w:val="9"/>
              </w:rPr>
              <w:t>(1)(2)</w:t>
            </w:r>
          </w:p>
          <w:p>
            <w:pPr>
              <w:pStyle w:val="TableContents"/>
              <w:bidi w:val="0"/>
              <w:spacing w:before="0" w:after="0"/>
              <w:jc w:val="center"/>
              <w:rPr>
                <w:rFonts w:ascii="Arial" w:hAnsi="Arial"/>
                <w:b/>
                <w:color w:val="191919"/>
                <w:sz w:val="16"/>
              </w:rPr>
            </w:pPr>
            <w:r>
              <w:rPr>
                <w:rFonts w:ascii="Arial" w:hAnsi="Arial"/>
                <w:b/>
                <w:color w:val="191919"/>
                <w:sz w:val="16"/>
              </w:rPr>
              <w:t>($)</w:t>
            </w:r>
          </w:p>
          <w:p>
            <w:pPr>
              <w:pStyle w:val="TableContents"/>
              <w:bidi w:val="0"/>
              <w:spacing w:before="0" w:after="20"/>
              <w:jc w:val="left"/>
              <w:rPr/>
            </w:pPr>
            <w:r>
              <w:rPr/>
              <w:t> </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gridSpan w:val="4"/>
            <w:vMerge w:val="restart"/>
            <w:tcBorders>
              <w:bottom w:val="single" w:sz="56" w:space="0" w:color="7DB655"/>
            </w:tcBorders>
            <w:tcMar>
              <w:bottom w:w="28"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Average</w:t>
              <w:br/>
              <w:t>Summary</w:t>
              <w:br/>
              <w:t>Compensation</w:t>
              <w:br/>
              <w:t>Table Total for</w:t>
            </w:r>
          </w:p>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br/>
              <w:t>NEOs</w:t>
            </w:r>
          </w:p>
          <w:p>
            <w:pPr>
              <w:pStyle w:val="TableContents"/>
              <w:bidi w:val="0"/>
              <w:spacing w:before="0" w:after="0"/>
              <w:jc w:val="center"/>
              <w:rPr>
                <w:rFonts w:ascii="Arial" w:hAnsi="Arial"/>
                <w:b/>
                <w:color w:val="191919"/>
                <w:sz w:val="9"/>
              </w:rPr>
            </w:pPr>
            <w:r>
              <w:rPr>
                <w:rFonts w:ascii="Arial" w:hAnsi="Arial"/>
                <w:b/>
                <w:color w:val="191919"/>
                <w:sz w:val="9"/>
              </w:rPr>
              <w:t>(1)</w:t>
            </w:r>
          </w:p>
          <w:p>
            <w:pPr>
              <w:pStyle w:val="TableContents"/>
              <w:bidi w:val="0"/>
              <w:spacing w:before="0" w:after="0"/>
              <w:jc w:val="center"/>
              <w:rPr>
                <w:rFonts w:ascii="Arial" w:hAnsi="Arial"/>
                <w:b/>
                <w:color w:val="191919"/>
                <w:sz w:val="16"/>
              </w:rPr>
            </w:pPr>
            <w:r>
              <w:rPr>
                <w:rFonts w:ascii="Arial" w:hAnsi="Arial"/>
                <w:b/>
                <w:color w:val="191919"/>
                <w:sz w:val="16"/>
              </w:rPr>
              <w:t>($)</w:t>
            </w:r>
          </w:p>
          <w:p>
            <w:pPr>
              <w:pStyle w:val="TableContents"/>
              <w:bidi w:val="0"/>
              <w:spacing w:before="0" w:after="20"/>
              <w:jc w:val="left"/>
              <w:rPr/>
            </w:pPr>
            <w:r>
              <w:rPr/>
              <w:t> </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gridSpan w:val="4"/>
            <w:vMerge w:val="restart"/>
            <w:tcBorders>
              <w:bottom w:val="single" w:sz="56" w:space="0" w:color="7DB655"/>
            </w:tcBorders>
            <w:tcMar>
              <w:bottom w:w="28"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Average</w:t>
              <w:br/>
              <w:t>Compensation</w:t>
              <w:br/>
              <w:t>Actually Paid</w:t>
              <w:br/>
              <w:t xml:space="preserve">to </w:t>
            </w:r>
          </w:p>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br/>
              <w:t>NEOs</w:t>
            </w:r>
          </w:p>
          <w:p>
            <w:pPr>
              <w:pStyle w:val="TableContents"/>
              <w:bidi w:val="0"/>
              <w:spacing w:before="0" w:after="0"/>
              <w:jc w:val="center"/>
              <w:rPr>
                <w:rFonts w:ascii="Arial" w:hAnsi="Arial"/>
                <w:b/>
                <w:color w:val="191919"/>
                <w:sz w:val="9"/>
              </w:rPr>
            </w:pPr>
            <w:r>
              <w:rPr>
                <w:rFonts w:ascii="Arial" w:hAnsi="Arial"/>
                <w:b/>
                <w:color w:val="191919"/>
                <w:sz w:val="9"/>
              </w:rPr>
              <w:t>(1)(2)</w:t>
            </w:r>
          </w:p>
          <w:p>
            <w:pPr>
              <w:pStyle w:val="TableContents"/>
              <w:bidi w:val="0"/>
              <w:spacing w:before="0" w:after="0"/>
              <w:jc w:val="center"/>
              <w:rPr>
                <w:rFonts w:ascii="Arial" w:hAnsi="Arial"/>
                <w:b/>
                <w:color w:val="191919"/>
                <w:sz w:val="16"/>
              </w:rPr>
            </w:pPr>
            <w:r>
              <w:rPr>
                <w:rFonts w:ascii="Arial" w:hAnsi="Arial"/>
                <w:b/>
                <w:color w:val="191919"/>
                <w:sz w:val="16"/>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35" w:type="dxa"/>
            <w:gridSpan w:val="9"/>
            <w:tcBorders>
              <w:bottom w:val="single" w:sz="2" w:space="0" w:color="7DB655"/>
            </w:tcBorders>
            <w:tcMar>
              <w:bottom w:w="28" w:type="dxa"/>
            </w:tcMar>
            <w:vAlign w:val="center"/>
          </w:tcPr>
          <w:p>
            <w:pPr>
              <w:pStyle w:val="TableContents"/>
              <w:bidi w:val="0"/>
              <w:spacing w:before="0" w:after="0"/>
              <w:jc w:val="center"/>
              <w:rPr>
                <w:b/>
                <w:color w:val="191919"/>
              </w:rPr>
            </w:pPr>
            <w:r>
              <w:rPr>
                <w:b/>
                <w:color w:val="191919"/>
              </w:rPr>
              <w:t>Value of Initial</w:t>
              <w:br/>
              <w:t>Fixed $100</w:t>
              <w:br/>
              <w:t>Investment</w:t>
              <w:br/>
              <w:t>based on</w:t>
            </w:r>
          </w:p>
          <w:p>
            <w:pPr>
              <w:pStyle w:val="TableContents"/>
              <w:bidi w:val="0"/>
              <w:spacing w:before="0" w:after="0"/>
              <w:jc w:val="center"/>
              <w:rPr>
                <w:b/>
                <w:color w:val="191919"/>
                <w:sz w:val="9"/>
              </w:rPr>
            </w:pPr>
            <w:r>
              <w:rPr>
                <w:b/>
                <w:color w:val="191919"/>
                <w:sz w:val="9"/>
              </w:rPr>
              <w:t>(3)</w:t>
            </w:r>
          </w:p>
          <w:p>
            <w:pPr>
              <w:pStyle w:val="TableContents"/>
              <w:bidi w:val="0"/>
              <w:spacing w:before="0" w:after="0"/>
              <w:jc w:val="center"/>
              <w:rPr>
                <w:b/>
                <w:color w:val="191919"/>
              </w:rPr>
            </w:pPr>
            <w:r>
              <w:rPr>
                <w:b/>
                <w:color w:val="191919"/>
              </w:rPr>
              <w:t>:</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172" w:type="dxa"/>
            <w:gridSpan w:val="4"/>
            <w:vMerge w:val="restart"/>
            <w:tcBorders>
              <w:bottom w:val="single" w:sz="56" w:space="0" w:color="7DB655"/>
            </w:tcBorders>
            <w:tcMar>
              <w:bottom w:w="28"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Net Income</w:t>
              <w:br/>
              <w:t>($ Thousands)</w:t>
            </w:r>
          </w:p>
          <w:p>
            <w:pPr>
              <w:pStyle w:val="TableContents"/>
              <w:bidi w:val="0"/>
              <w:spacing w:before="0" w:after="20"/>
              <w:jc w:val="left"/>
              <w:rPr/>
            </w:pPr>
            <w:r>
              <w:rPr/>
              <w:t> </w:t>
            </w:r>
          </w:p>
        </w:tc>
        <w:tc>
          <w:tcPr>
            <w:tcW w:w="60" w:type="dxa"/>
            <w:vMerge w:val="restart"/>
            <w:tcBorders>
              <w:bottom w:val="single" w:sz="56" w:space="0" w:color="7DB655"/>
            </w:tcBorders>
            <w:tcMar>
              <w:bottom w:w="28" w:type="dxa"/>
            </w:tcMar>
            <w:vAlign w:val="center"/>
          </w:tcPr>
          <w:p>
            <w:pPr>
              <w:pStyle w:val="TableContents"/>
              <w:bidi w:val="0"/>
              <w:spacing w:before="0" w:after="283"/>
              <w:jc w:val="left"/>
              <w:rPr/>
            </w:pPr>
            <w:r>
              <w:rPr/>
              <w:t> </w:t>
            </w:r>
          </w:p>
        </w:tc>
        <w:tc>
          <w:tcPr>
            <w:tcW w:w="1188" w:type="dxa"/>
            <w:gridSpan w:val="4"/>
            <w:vMerge w:val="restart"/>
            <w:tcBorders>
              <w:bottom w:val="single" w:sz="56" w:space="0" w:color="7DB655"/>
            </w:tcBorders>
            <w:tcMar>
              <w:bottom w:w="28"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EBITDA</w:t>
            </w:r>
          </w:p>
          <w:p>
            <w:pPr>
              <w:pStyle w:val="TableContents"/>
              <w:bidi w:val="0"/>
              <w:spacing w:before="0" w:after="0"/>
              <w:jc w:val="center"/>
              <w:rPr>
                <w:rFonts w:ascii="Arial" w:hAnsi="Arial"/>
                <w:b/>
                <w:color w:val="191919"/>
                <w:sz w:val="9"/>
              </w:rPr>
            </w:pPr>
            <w:r>
              <w:rPr>
                <w:rFonts w:ascii="Arial" w:hAnsi="Arial"/>
                <w:b/>
                <w:color w:val="191919"/>
                <w:sz w:val="9"/>
              </w:rPr>
              <w:t>(4)</w:t>
            </w:r>
          </w:p>
          <w:p>
            <w:pPr>
              <w:pStyle w:val="TableContents"/>
              <w:bidi w:val="0"/>
              <w:spacing w:before="0" w:after="0"/>
              <w:jc w:val="center"/>
              <w:rPr>
                <w:rFonts w:ascii="Arial" w:hAnsi="Arial"/>
                <w:b/>
                <w:color w:val="191919"/>
                <w:sz w:val="16"/>
              </w:rPr>
            </w:pPr>
            <w:r>
              <w:rPr>
                <w:rFonts w:ascii="Arial" w:hAnsi="Arial"/>
                <w:b/>
                <w:color w:val="191919"/>
                <w:sz w:val="16"/>
              </w:rPr>
              <w:br/>
              <w:t>($ Thousands)</w:t>
            </w:r>
          </w:p>
          <w:p>
            <w:pPr>
              <w:pStyle w:val="TableContents"/>
              <w:bidi w:val="0"/>
              <w:spacing w:before="0" w:after="20"/>
              <w:jc w:val="left"/>
              <w:rPr/>
            </w:pPr>
            <w:r>
              <w:rPr/>
              <w:t> </w:t>
            </w:r>
          </w:p>
        </w:tc>
      </w:tr>
      <w:tr>
        <w:trPr/>
        <w:tc>
          <w:tcPr>
            <w:tcW w:w="395" w:type="dxa"/>
            <w:vMerge w:val="continue"/>
            <w:tcBorders>
              <w:bottom w:val="single" w:sz="56" w:space="0" w:color="7DB655"/>
            </w:tcBorders>
            <w:tcMar>
              <w:bottom w:w="28" w:type="dxa"/>
            </w:tcMar>
            <w:vAlign w:val="center"/>
          </w:tcPr>
          <w:p>
            <w:pPr>
              <w:pStyle w:val="Normal"/>
              <w:bidi w:val="0"/>
              <w:jc w:val="left"/>
              <w:rPr/>
            </w:pPr>
            <w:r>
              <w:rPr/>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190" w:type="dxa"/>
            <w:gridSpan w:val="4"/>
            <w:vMerge w:val="continue"/>
            <w:tcBorders>
              <w:bottom w:val="single" w:sz="56" w:space="0" w:color="7DB655"/>
            </w:tcBorders>
            <w:tcMar>
              <w:bottom w:w="28" w:type="dxa"/>
            </w:tcMar>
            <w:vAlign w:val="center"/>
          </w:tcPr>
          <w:p>
            <w:pPr>
              <w:pStyle w:val="Normal"/>
              <w:bidi w:val="0"/>
              <w:jc w:val="left"/>
              <w:rPr/>
            </w:pPr>
            <w:r>
              <w:rPr/>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190" w:type="dxa"/>
            <w:gridSpan w:val="4"/>
            <w:vMerge w:val="continue"/>
            <w:tcBorders>
              <w:bottom w:val="single" w:sz="56" w:space="0" w:color="7DB655"/>
            </w:tcBorders>
            <w:tcMar>
              <w:bottom w:w="28" w:type="dxa"/>
            </w:tcMar>
            <w:vAlign w:val="center"/>
          </w:tcPr>
          <w:p>
            <w:pPr>
              <w:pStyle w:val="Normal"/>
              <w:bidi w:val="0"/>
              <w:jc w:val="left"/>
              <w:rPr/>
            </w:pPr>
            <w:r>
              <w:rPr/>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190" w:type="dxa"/>
            <w:gridSpan w:val="4"/>
            <w:vMerge w:val="continue"/>
            <w:tcBorders>
              <w:bottom w:val="single" w:sz="56" w:space="0" w:color="7DB655"/>
            </w:tcBorders>
            <w:tcMar>
              <w:bottom w:w="28" w:type="dxa"/>
            </w:tcMar>
            <w:vAlign w:val="center"/>
          </w:tcPr>
          <w:p>
            <w:pPr>
              <w:pStyle w:val="Normal"/>
              <w:bidi w:val="0"/>
              <w:jc w:val="left"/>
              <w:rPr/>
            </w:pPr>
            <w:r>
              <w:rPr/>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190" w:type="dxa"/>
            <w:gridSpan w:val="4"/>
            <w:vMerge w:val="continue"/>
            <w:tcBorders>
              <w:bottom w:val="single" w:sz="56" w:space="0" w:color="7DB655"/>
            </w:tcBorders>
            <w:tcMar>
              <w:bottom w:w="28" w:type="dxa"/>
            </w:tcMar>
            <w:vAlign w:val="center"/>
          </w:tcPr>
          <w:p>
            <w:pPr>
              <w:pStyle w:val="Normal"/>
              <w:bidi w:val="0"/>
              <w:jc w:val="left"/>
              <w:rPr/>
            </w:pPr>
            <w:r>
              <w:rPr/>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731" w:type="dxa"/>
            <w:gridSpan w:val="4"/>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TSR</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66" w:type="dxa"/>
            <w:tcBorders>
              <w:bottom w:val="single" w:sz="56" w:space="0" w:color="7DB655"/>
            </w:tcBorders>
            <w:tcMar>
              <w:bottom w:w="28" w:type="dxa"/>
            </w:tcMar>
            <w:vAlign w:val="center"/>
          </w:tcPr>
          <w:p>
            <w:pPr>
              <w:pStyle w:val="TableContents"/>
              <w:bidi w:val="0"/>
              <w:spacing w:before="0" w:after="283"/>
              <w:jc w:val="left"/>
              <w:rPr/>
            </w:pPr>
            <w:r>
              <w:rPr/>
              <w:t> </w:t>
            </w:r>
          </w:p>
        </w:tc>
        <w:tc>
          <w:tcPr>
            <w:tcW w:w="738" w:type="dxa"/>
            <w:gridSpan w:val="4"/>
            <w:tcBorders>
              <w:bottom w:val="single" w:sz="5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191919"/>
                <w:sz w:val="16"/>
              </w:rPr>
            </w:pPr>
            <w:r>
              <w:rPr>
                <w:rFonts w:ascii="Arial" w:hAnsi="Arial"/>
                <w:b/>
                <w:color w:val="191919"/>
                <w:sz w:val="16"/>
              </w:rPr>
              <w:t>Peer</w:t>
              <w:br/>
              <w:t>Group</w:t>
              <w:br/>
              <w:t>TSR</w:t>
            </w:r>
          </w:p>
          <w:p>
            <w:pPr>
              <w:pStyle w:val="TableContents"/>
              <w:bidi w:val="0"/>
              <w:spacing w:before="0" w:after="0"/>
              <w:jc w:val="center"/>
              <w:rPr>
                <w:rFonts w:ascii="Arial" w:hAnsi="Arial"/>
                <w:b/>
                <w:color w:val="191919"/>
                <w:sz w:val="16"/>
              </w:rPr>
            </w:pPr>
            <w:r>
              <w:rPr>
                <w:rFonts w:ascii="Arial" w:hAnsi="Arial"/>
                <w:b/>
                <w:color w:val="191919"/>
                <w:sz w:val="16"/>
              </w:rPr>
              <w:t>($)</w:t>
            </w:r>
          </w:p>
          <w:p>
            <w:pPr>
              <w:pStyle w:val="TableContents"/>
              <w:bidi w:val="0"/>
              <w:spacing w:before="0" w:after="20"/>
              <w:jc w:val="left"/>
              <w:rPr/>
            </w:pPr>
            <w:r>
              <w:rPr/>
              <w:t> </w:t>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172" w:type="dxa"/>
            <w:gridSpan w:val="4"/>
            <w:vMerge w:val="continue"/>
            <w:tcBorders>
              <w:bottom w:val="single" w:sz="56" w:space="0" w:color="7DB655"/>
            </w:tcBorders>
            <w:tcMar>
              <w:bottom w:w="28" w:type="dxa"/>
            </w:tcMar>
            <w:vAlign w:val="center"/>
          </w:tcPr>
          <w:p>
            <w:pPr>
              <w:pStyle w:val="Normal"/>
              <w:bidi w:val="0"/>
              <w:jc w:val="left"/>
              <w:rPr/>
            </w:pPr>
            <w:r>
              <w:rPr/>
            </w:r>
          </w:p>
        </w:tc>
        <w:tc>
          <w:tcPr>
            <w:tcW w:w="60" w:type="dxa"/>
            <w:vMerge w:val="continue"/>
            <w:tcBorders>
              <w:bottom w:val="single" w:sz="56" w:space="0" w:color="7DB655"/>
            </w:tcBorders>
            <w:tcMar>
              <w:bottom w:w="28" w:type="dxa"/>
            </w:tcMar>
            <w:vAlign w:val="center"/>
          </w:tcPr>
          <w:p>
            <w:pPr>
              <w:pStyle w:val="Normal"/>
              <w:bidi w:val="0"/>
              <w:jc w:val="left"/>
              <w:rPr/>
            </w:pPr>
            <w:r>
              <w:rPr/>
            </w:r>
          </w:p>
        </w:tc>
        <w:tc>
          <w:tcPr>
            <w:tcW w:w="1188" w:type="dxa"/>
            <w:gridSpan w:val="4"/>
            <w:vMerge w:val="continue"/>
            <w:tcBorders>
              <w:bottom w:val="single" w:sz="56" w:space="0" w:color="7DB655"/>
            </w:tcBorders>
            <w:tcMar>
              <w:bottom w:w="28" w:type="dxa"/>
            </w:tcMar>
            <w:vAlign w:val="center"/>
          </w:tcPr>
          <w:p>
            <w:pPr>
              <w:pStyle w:val="Normal"/>
              <w:bidi w:val="0"/>
              <w:jc w:val="left"/>
              <w:rPr/>
            </w:pPr>
            <w:r>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791" w:type="dxa"/>
            <w:gridSpan w:val="5"/>
            <w:tcBorders/>
            <w:vAlign w:val="center"/>
          </w:tcPr>
          <w:p>
            <w:pPr>
              <w:pStyle w:val="TableContents"/>
              <w:bidi w:val="0"/>
              <w:spacing w:before="0" w:after="283"/>
              <w:jc w:val="left"/>
              <w:rPr>
                <w:sz w:val="4"/>
                <w:szCs w:val="4"/>
              </w:rPr>
            </w:pPr>
            <w:r>
              <w:rPr>
                <w:sz w:val="4"/>
                <w:szCs w:val="4"/>
              </w:rPr>
            </w:r>
          </w:p>
        </w:tc>
        <w:tc>
          <w:tcPr>
            <w:tcW w:w="804"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248"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2022</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20" w:before="0" w:after="0"/>
              <w:jc w:val="left"/>
              <w:rPr>
                <w:color w:val="191919"/>
              </w:rPr>
            </w:pPr>
            <w:r>
              <w:rPr>
                <w:color w:val="191919"/>
              </w:rPr>
              <w:t> </w:t>
            </w:r>
          </w:p>
        </w:tc>
        <w:tc>
          <w:tcPr>
            <w:tcW w:w="1015"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17,043,097</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20" w:before="0" w:after="0"/>
              <w:jc w:val="left"/>
              <w:rPr>
                <w:color w:val="191919"/>
              </w:rPr>
            </w:pPr>
            <w:r>
              <w:rPr>
                <w:color w:val="191919"/>
              </w:rPr>
              <w:t> </w:t>
            </w:r>
          </w:p>
        </w:tc>
        <w:tc>
          <w:tcPr>
            <w:tcW w:w="1015"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12,476,830</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220" w:before="0" w:after="0"/>
              <w:jc w:val="left"/>
              <w:rPr>
                <w:color w:val="191919"/>
              </w:rPr>
            </w:pPr>
            <w:r>
              <w:rPr>
                <w:color w:val="191919"/>
              </w:rPr>
              <w:t> </w:t>
            </w:r>
          </w:p>
        </w:tc>
        <w:tc>
          <w:tcPr>
            <w:tcW w:w="997"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1,506,616</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220" w:before="0" w:after="0"/>
              <w:jc w:val="left"/>
              <w:rPr>
                <w:color w:val="191919"/>
              </w:rPr>
            </w:pPr>
            <w:r>
              <w:rPr>
                <w:color w:val="191919"/>
              </w:rPr>
              <w:t> </w:t>
            </w:r>
          </w:p>
        </w:tc>
        <w:tc>
          <w:tcPr>
            <w:tcW w:w="997"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945,584</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lineRule="atLeast" w:line="220" w:before="0" w:after="0"/>
              <w:jc w:val="left"/>
              <w:rPr>
                <w:color w:val="191919"/>
              </w:rPr>
            </w:pPr>
            <w:r>
              <w:rPr>
                <w:color w:val="191919"/>
              </w:rPr>
              <w:t> </w:t>
            </w:r>
          </w:p>
        </w:tc>
        <w:tc>
          <w:tcPr>
            <w:tcW w:w="574"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87.09</w:t>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lineRule="atLeast" w:line="220" w:before="0" w:after="0"/>
              <w:jc w:val="left"/>
              <w:rPr>
                <w:color w:val="191919"/>
              </w:rPr>
            </w:pPr>
            <w:r>
              <w:rPr>
                <w:color w:val="191919"/>
              </w:rPr>
              <w:t> </w:t>
            </w:r>
          </w:p>
        </w:tc>
        <w:tc>
          <w:tcPr>
            <w:tcW w:w="574"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97.82</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lineRule="atLeast" w:line="220" w:before="0" w:after="0"/>
              <w:jc w:val="left"/>
              <w:rPr>
                <w:color w:val="191919"/>
              </w:rPr>
            </w:pPr>
            <w:r>
              <w:rPr>
                <w:color w:val="191919"/>
              </w:rPr>
              <w:t> </w:t>
            </w:r>
          </w:p>
        </w:tc>
        <w:tc>
          <w:tcPr>
            <w:tcW w:w="949"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67,319</w:t>
            </w:r>
          </w:p>
        </w:tc>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20" w:before="0" w:after="0"/>
              <w:jc w:val="left"/>
              <w:rPr>
                <w:color w:val="191919"/>
              </w:rPr>
            </w:pPr>
            <w:r>
              <w:rPr>
                <w:color w:val="191919"/>
              </w:rPr>
              <w:t> </w:t>
            </w:r>
          </w:p>
        </w:tc>
        <w:tc>
          <w:tcPr>
            <w:tcW w:w="943"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133,323</w:t>
            </w:r>
          </w:p>
        </w:tc>
        <w:tc>
          <w:tcPr>
            <w:tcW w:w="61" w:type="dxa"/>
            <w:tcBorders/>
            <w:vAlign w:val="center"/>
          </w:tcPr>
          <w:p>
            <w:pPr>
              <w:pStyle w:val="TableContents"/>
              <w:bidi w:val="0"/>
              <w:spacing w:before="0" w:after="283"/>
              <w:jc w:val="left"/>
              <w:rPr>
                <w:sz w:val="4"/>
                <w:szCs w:val="4"/>
              </w:rPr>
            </w:pPr>
            <w:r>
              <w:rPr>
                <w:sz w:val="4"/>
                <w:szCs w:val="4"/>
              </w:rPr>
            </w:r>
          </w:p>
        </w:tc>
      </w:tr>
      <w:tr>
        <w:trPr/>
        <w:tc>
          <w:tcPr>
            <w:tcW w:w="395"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791" w:type="dxa"/>
            <w:gridSpan w:val="5"/>
            <w:tcBorders/>
            <w:shd w:fill="EDEDED" w:val="clear"/>
            <w:vAlign w:val="center"/>
          </w:tcPr>
          <w:p>
            <w:pPr>
              <w:pStyle w:val="TableContents"/>
              <w:bidi w:val="0"/>
              <w:spacing w:before="0" w:after="283"/>
              <w:jc w:val="left"/>
              <w:rPr>
                <w:sz w:val="4"/>
                <w:szCs w:val="4"/>
              </w:rPr>
            </w:pPr>
            <w:r>
              <w:rPr>
                <w:sz w:val="4"/>
                <w:szCs w:val="4"/>
              </w:rPr>
            </w:r>
          </w:p>
        </w:tc>
        <w:tc>
          <w:tcPr>
            <w:tcW w:w="804" w:type="dxa"/>
            <w:gridSpan w:val="5"/>
            <w:tcBorders/>
            <w:shd w:fill="EDEDED" w:val="clear"/>
            <w:vAlign w:val="center"/>
          </w:tcPr>
          <w:p>
            <w:pPr>
              <w:pStyle w:val="TableContents"/>
              <w:bidi w:val="0"/>
              <w:spacing w:before="0" w:after="283"/>
              <w:jc w:val="left"/>
              <w:rPr>
                <w:sz w:val="4"/>
                <w:szCs w:val="4"/>
              </w:rPr>
            </w:pPr>
            <w:r>
              <w:rPr>
                <w:sz w:val="4"/>
                <w:szCs w:val="4"/>
              </w:rPr>
            </w:r>
          </w:p>
        </w:tc>
        <w:tc>
          <w:tcPr>
            <w:tcW w:w="1232" w:type="dxa"/>
            <w:gridSpan w:val="5"/>
            <w:tcBorders/>
            <w:shd w:fill="EDEDED" w:val="clear"/>
            <w:vAlign w:val="center"/>
          </w:tcPr>
          <w:p>
            <w:pPr>
              <w:pStyle w:val="TableContents"/>
              <w:bidi w:val="0"/>
              <w:spacing w:before="0" w:after="283"/>
              <w:jc w:val="left"/>
              <w:rPr>
                <w:sz w:val="4"/>
                <w:szCs w:val="4"/>
              </w:rPr>
            </w:pPr>
            <w:r>
              <w:rPr>
                <w:sz w:val="4"/>
                <w:szCs w:val="4"/>
              </w:rPr>
            </w:r>
          </w:p>
        </w:tc>
        <w:tc>
          <w:tcPr>
            <w:tcW w:w="124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395" w:type="dxa"/>
            <w:tcBorders/>
            <w:shd w:fill="EDEDED" w:val="clear"/>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2023</w:t>
            </w:r>
          </w:p>
        </w:tc>
        <w:tc>
          <w:tcPr>
            <w:tcW w:w="60"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01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4,276,487</w:t>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01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9,426,129</w:t>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97"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1,426,777</w:t>
            </w:r>
          </w:p>
        </w:tc>
        <w:tc>
          <w:tcPr>
            <w:tcW w:w="3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97"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2,102,263</w:t>
            </w:r>
          </w:p>
        </w:tc>
        <w:tc>
          <w:tcPr>
            <w:tcW w:w="3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574"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102.90</w:t>
            </w:r>
          </w:p>
        </w:tc>
        <w:tc>
          <w:tcPr>
            <w:tcW w:w="25" w:type="dxa"/>
            <w:tcBorders/>
            <w:shd w:fill="EDEDED" w:val="clear"/>
            <w:vAlign w:val="center"/>
          </w:tcPr>
          <w:p>
            <w:pPr>
              <w:pStyle w:val="TableContents"/>
              <w:bidi w:val="0"/>
              <w:spacing w:before="0" w:after="283"/>
              <w:jc w:val="left"/>
              <w:rPr>
                <w:sz w:val="4"/>
                <w:szCs w:val="4"/>
              </w:rPr>
            </w:pPr>
            <w:r>
              <w:rPr>
                <w:sz w:val="4"/>
                <w:szCs w:val="4"/>
              </w:rPr>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574"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101.30</w:t>
            </w:r>
          </w:p>
        </w:tc>
        <w:tc>
          <w:tcPr>
            <w:tcW w:w="3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3" w:type="dxa"/>
            <w:tcBorders/>
            <w:shd w:fill="EDEDED" w:val="clear"/>
            <w:vAlign w:val="center"/>
          </w:tcPr>
          <w:p>
            <w:pPr>
              <w:pStyle w:val="TableContents"/>
              <w:bidi w:val="0"/>
              <w:spacing w:before="0" w:after="283"/>
              <w:jc w:val="left"/>
              <w:rPr/>
            </w:pPr>
            <w:r>
              <w:rPr/>
              <w:t> </w:t>
            </w:r>
          </w:p>
        </w:tc>
        <w:tc>
          <w:tcPr>
            <w:tcW w:w="93"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49"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96,574</w:t>
            </w:r>
          </w:p>
        </w:tc>
        <w:tc>
          <w:tcPr>
            <w:tcW w:w="37"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2" w:type="dxa"/>
            <w:tcBorders/>
            <w:shd w:fill="EDEDED" w:val="clear"/>
            <w:vAlign w:val="center"/>
          </w:tcPr>
          <w:p>
            <w:pPr>
              <w:pStyle w:val="TableContents"/>
              <w:bidi w:val="0"/>
              <w:spacing w:before="0" w:after="283"/>
              <w:jc w:val="left"/>
              <w:rPr/>
            </w:pPr>
            <w:r>
              <w:rPr/>
              <w:t> </w:t>
            </w:r>
          </w:p>
        </w:tc>
        <w:tc>
          <w:tcPr>
            <w:tcW w:w="92"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43"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174,067</w:t>
            </w:r>
          </w:p>
        </w:tc>
        <w:tc>
          <w:tcPr>
            <w:tcW w:w="61" w:type="dxa"/>
            <w:tcBorders/>
            <w:shd w:fill="EDEDED" w:val="cle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791" w:type="dxa"/>
            <w:gridSpan w:val="5"/>
            <w:tcBorders/>
            <w:vAlign w:val="center"/>
          </w:tcPr>
          <w:p>
            <w:pPr>
              <w:pStyle w:val="TableContents"/>
              <w:bidi w:val="0"/>
              <w:spacing w:before="0" w:after="283"/>
              <w:jc w:val="left"/>
              <w:rPr>
                <w:sz w:val="4"/>
                <w:szCs w:val="4"/>
              </w:rPr>
            </w:pPr>
            <w:r>
              <w:rPr>
                <w:sz w:val="4"/>
                <w:szCs w:val="4"/>
              </w:rPr>
            </w:r>
          </w:p>
        </w:tc>
        <w:tc>
          <w:tcPr>
            <w:tcW w:w="804"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248"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2024</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20" w:before="0" w:after="0"/>
              <w:jc w:val="left"/>
              <w:rPr>
                <w:color w:val="191919"/>
              </w:rPr>
            </w:pPr>
            <w:r>
              <w:rPr>
                <w:color w:val="191919"/>
              </w:rPr>
              <w:t> </w:t>
            </w:r>
          </w:p>
        </w:tc>
        <w:tc>
          <w:tcPr>
            <w:tcW w:w="1015"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5,963,245</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lineRule="atLeast" w:line="220" w:before="0" w:after="0"/>
              <w:jc w:val="left"/>
              <w:rPr>
                <w:color w:val="191919"/>
              </w:rPr>
            </w:pPr>
            <w:r>
              <w:rPr>
                <w:color w:val="191919"/>
              </w:rPr>
              <w:t> </w:t>
            </w:r>
          </w:p>
        </w:tc>
        <w:tc>
          <w:tcPr>
            <w:tcW w:w="1015"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24,801,517</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220" w:before="0" w:after="0"/>
              <w:jc w:val="left"/>
              <w:rPr>
                <w:color w:val="191919"/>
              </w:rPr>
            </w:pPr>
            <w:r>
              <w:rPr>
                <w:color w:val="191919"/>
              </w:rPr>
              <w:t> </w:t>
            </w:r>
          </w:p>
        </w:tc>
        <w:tc>
          <w:tcPr>
            <w:tcW w:w="997"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1,661,475</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220" w:before="0" w:after="0"/>
              <w:jc w:val="left"/>
              <w:rPr>
                <w:color w:val="191919"/>
              </w:rPr>
            </w:pPr>
            <w:r>
              <w:rPr>
                <w:color w:val="191919"/>
              </w:rPr>
              <w:t> </w:t>
            </w:r>
          </w:p>
        </w:tc>
        <w:tc>
          <w:tcPr>
            <w:tcW w:w="997"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3,501,738</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lineRule="atLeast" w:line="220" w:before="0" w:after="0"/>
              <w:jc w:val="left"/>
              <w:rPr>
                <w:color w:val="191919"/>
              </w:rPr>
            </w:pPr>
            <w:r>
              <w:rPr>
                <w:color w:val="191919"/>
              </w:rPr>
              <w:t> </w:t>
            </w:r>
          </w:p>
        </w:tc>
        <w:tc>
          <w:tcPr>
            <w:tcW w:w="574"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173.80</w:t>
            </w:r>
          </w:p>
        </w:tc>
        <w:tc>
          <w:tcPr>
            <w:tcW w:w="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lineRule="atLeast" w:line="220" w:before="0" w:after="0"/>
              <w:jc w:val="left"/>
              <w:rPr>
                <w:color w:val="191919"/>
              </w:rPr>
            </w:pPr>
            <w:r>
              <w:rPr>
                <w:color w:val="191919"/>
              </w:rPr>
              <w:t> </w:t>
            </w:r>
          </w:p>
        </w:tc>
        <w:tc>
          <w:tcPr>
            <w:tcW w:w="574"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134.46</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lineRule="atLeast" w:line="220" w:before="0" w:after="0"/>
              <w:jc w:val="left"/>
              <w:rPr>
                <w:color w:val="191919"/>
              </w:rPr>
            </w:pPr>
            <w:r>
              <w:rPr>
                <w:color w:val="191919"/>
              </w:rPr>
              <w:t> </w:t>
            </w:r>
          </w:p>
        </w:tc>
        <w:tc>
          <w:tcPr>
            <w:tcW w:w="949"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102,539</w:t>
            </w:r>
          </w:p>
        </w:tc>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lineRule="atLeast" w:line="220" w:before="0" w:after="0"/>
              <w:jc w:val="left"/>
              <w:rPr>
                <w:color w:val="191919"/>
              </w:rPr>
            </w:pPr>
            <w:r>
              <w:rPr>
                <w:color w:val="191919"/>
              </w:rPr>
              <w:t> </w:t>
            </w:r>
          </w:p>
        </w:tc>
        <w:tc>
          <w:tcPr>
            <w:tcW w:w="943" w:type="dxa"/>
            <w:tcBorders/>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200,013</w:t>
            </w:r>
          </w:p>
        </w:tc>
        <w:tc>
          <w:tcPr>
            <w:tcW w:w="61" w:type="dxa"/>
            <w:tcBorders/>
            <w:vAlign w:val="center"/>
          </w:tcPr>
          <w:p>
            <w:pPr>
              <w:pStyle w:val="TableContents"/>
              <w:bidi w:val="0"/>
              <w:spacing w:before="0" w:after="283"/>
              <w:jc w:val="left"/>
              <w:rPr>
                <w:sz w:val="4"/>
                <w:szCs w:val="4"/>
              </w:rPr>
            </w:pPr>
            <w:r>
              <w:rPr>
                <w:sz w:val="4"/>
                <w:szCs w:val="4"/>
              </w:rPr>
            </w:r>
          </w:p>
        </w:tc>
      </w:tr>
      <w:tr>
        <w:trPr/>
        <w:tc>
          <w:tcPr>
            <w:tcW w:w="395" w:type="dxa"/>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791" w:type="dxa"/>
            <w:gridSpan w:val="5"/>
            <w:tcBorders/>
            <w:shd w:fill="EDEDED" w:val="clear"/>
            <w:vAlign w:val="center"/>
          </w:tcPr>
          <w:p>
            <w:pPr>
              <w:pStyle w:val="TableContents"/>
              <w:bidi w:val="0"/>
              <w:spacing w:before="0" w:after="283"/>
              <w:jc w:val="left"/>
              <w:rPr>
                <w:sz w:val="4"/>
                <w:szCs w:val="4"/>
              </w:rPr>
            </w:pPr>
            <w:r>
              <w:rPr>
                <w:sz w:val="4"/>
                <w:szCs w:val="4"/>
              </w:rPr>
            </w:r>
          </w:p>
        </w:tc>
        <w:tc>
          <w:tcPr>
            <w:tcW w:w="804" w:type="dxa"/>
            <w:gridSpan w:val="5"/>
            <w:tcBorders/>
            <w:shd w:fill="EDEDED" w:val="clear"/>
            <w:vAlign w:val="center"/>
          </w:tcPr>
          <w:p>
            <w:pPr>
              <w:pStyle w:val="TableContents"/>
              <w:bidi w:val="0"/>
              <w:spacing w:before="0" w:after="283"/>
              <w:jc w:val="left"/>
              <w:rPr>
                <w:sz w:val="4"/>
                <w:szCs w:val="4"/>
              </w:rPr>
            </w:pPr>
            <w:r>
              <w:rPr>
                <w:sz w:val="4"/>
                <w:szCs w:val="4"/>
              </w:rPr>
            </w:r>
          </w:p>
        </w:tc>
        <w:tc>
          <w:tcPr>
            <w:tcW w:w="1232" w:type="dxa"/>
            <w:gridSpan w:val="5"/>
            <w:tcBorders/>
            <w:shd w:fill="EDEDED" w:val="clear"/>
            <w:vAlign w:val="center"/>
          </w:tcPr>
          <w:p>
            <w:pPr>
              <w:pStyle w:val="TableContents"/>
              <w:bidi w:val="0"/>
              <w:spacing w:before="0" w:after="283"/>
              <w:jc w:val="left"/>
              <w:rPr>
                <w:sz w:val="4"/>
                <w:szCs w:val="4"/>
              </w:rPr>
            </w:pPr>
            <w:r>
              <w:rPr>
                <w:sz w:val="4"/>
                <w:szCs w:val="4"/>
              </w:rPr>
            </w:r>
          </w:p>
        </w:tc>
        <w:tc>
          <w:tcPr>
            <w:tcW w:w="124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395" w:type="dxa"/>
            <w:tcBorders/>
            <w:shd w:fill="EDEDED" w:val="clear"/>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2025</w:t>
            </w:r>
          </w:p>
        </w:tc>
        <w:tc>
          <w:tcPr>
            <w:tcW w:w="60"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01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6,330,479</w:t>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before="0" w:after="283"/>
              <w:jc w:val="left"/>
              <w:rPr/>
            </w:pPr>
            <w:r>
              <w:rPr/>
              <w:t> </w:t>
            </w:r>
          </w:p>
        </w:tc>
        <w:tc>
          <w:tcPr>
            <w:tcW w:w="73"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015"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17,689,641</w:t>
            </w:r>
          </w:p>
        </w:tc>
        <w:tc>
          <w:tcPr>
            <w:tcW w:w="29"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97"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1,715,506</w:t>
            </w:r>
          </w:p>
        </w:tc>
        <w:tc>
          <w:tcPr>
            <w:tcW w:w="3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97"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2,644,990</w:t>
            </w:r>
          </w:p>
        </w:tc>
        <w:tc>
          <w:tcPr>
            <w:tcW w:w="3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574"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215.90</w:t>
            </w:r>
          </w:p>
        </w:tc>
        <w:tc>
          <w:tcPr>
            <w:tcW w:w="25" w:type="dxa"/>
            <w:tcBorders/>
            <w:shd w:fill="EDEDED" w:val="clear"/>
            <w:vAlign w:val="center"/>
          </w:tcPr>
          <w:p>
            <w:pPr>
              <w:pStyle w:val="TableContents"/>
              <w:bidi w:val="0"/>
              <w:spacing w:before="0" w:after="283"/>
              <w:jc w:val="left"/>
              <w:rPr>
                <w:sz w:val="4"/>
                <w:szCs w:val="4"/>
              </w:rPr>
            </w:pPr>
            <w:r>
              <w:rPr>
                <w:sz w:val="4"/>
                <w:szCs w:val="4"/>
              </w:rPr>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574"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126.28</w:t>
            </w:r>
          </w:p>
        </w:tc>
        <w:tc>
          <w:tcPr>
            <w:tcW w:w="3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3" w:type="dxa"/>
            <w:tcBorders/>
            <w:shd w:fill="EDEDED" w:val="clear"/>
            <w:vAlign w:val="center"/>
          </w:tcPr>
          <w:p>
            <w:pPr>
              <w:pStyle w:val="TableContents"/>
              <w:bidi w:val="0"/>
              <w:spacing w:before="0" w:after="283"/>
              <w:jc w:val="left"/>
              <w:rPr/>
            </w:pPr>
            <w:r>
              <w:rPr/>
              <w:t> </w:t>
            </w:r>
          </w:p>
        </w:tc>
        <w:tc>
          <w:tcPr>
            <w:tcW w:w="93"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49"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136,652</w:t>
            </w:r>
          </w:p>
        </w:tc>
        <w:tc>
          <w:tcPr>
            <w:tcW w:w="37"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92" w:type="dxa"/>
            <w:tcBorders/>
            <w:shd w:fill="EDEDED" w:val="clear"/>
            <w:vAlign w:val="center"/>
          </w:tcPr>
          <w:p>
            <w:pPr>
              <w:pStyle w:val="TableContents"/>
              <w:bidi w:val="0"/>
              <w:spacing w:before="0" w:after="283"/>
              <w:jc w:val="left"/>
              <w:rPr/>
            </w:pPr>
            <w:r>
              <w:rPr/>
              <w:t> </w:t>
            </w:r>
          </w:p>
        </w:tc>
        <w:tc>
          <w:tcPr>
            <w:tcW w:w="92"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943"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227,860</w:t>
            </w:r>
          </w:p>
        </w:tc>
        <w:tc>
          <w:tcPr>
            <w:tcW w:w="61" w:type="dxa"/>
            <w:tcBorders/>
            <w:shd w:fill="EDEDED" w:val="clear"/>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791" w:type="dxa"/>
            <w:gridSpan w:val="5"/>
            <w:tcBorders/>
            <w:vAlign w:val="center"/>
          </w:tcPr>
          <w:p>
            <w:pPr>
              <w:pStyle w:val="TableContents"/>
              <w:bidi w:val="0"/>
              <w:spacing w:before="0" w:after="283"/>
              <w:jc w:val="left"/>
              <w:rPr>
                <w:sz w:val="4"/>
                <w:szCs w:val="4"/>
              </w:rPr>
            </w:pPr>
            <w:r>
              <w:rPr>
                <w:sz w:val="4"/>
                <w:szCs w:val="4"/>
              </w:rPr>
            </w:r>
          </w:p>
        </w:tc>
        <w:tc>
          <w:tcPr>
            <w:tcW w:w="804"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248" w:type="dxa"/>
            <w:gridSpan w:val="5"/>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7DB655"/>
            </w:tcBorders>
            <w:tcMar>
              <w:bottom w:w="40" w:type="dxa"/>
            </w:tcMar>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2026</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73" w:type="dxa"/>
            <w:tcBorders>
              <w:bottom w:val="single" w:sz="6" w:space="0" w:color="7DB655"/>
            </w:tcBorders>
            <w:tcMar>
              <w:bottom w:w="28" w:type="dxa"/>
            </w:tcMar>
            <w:vAlign w:val="center"/>
          </w:tcPr>
          <w:p>
            <w:pPr>
              <w:pStyle w:val="TableContents"/>
              <w:bidi w:val="0"/>
              <w:spacing w:before="0" w:after="283"/>
              <w:jc w:val="left"/>
              <w:rPr/>
            </w:pPr>
            <w:r>
              <w:rPr/>
              <w:t> </w:t>
            </w:r>
          </w:p>
        </w:tc>
        <w:tc>
          <w:tcPr>
            <w:tcW w:w="73"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1015"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7,273,615</w:t>
            </w:r>
          </w:p>
        </w:tc>
        <w:tc>
          <w:tcPr>
            <w:tcW w:w="29"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73" w:type="dxa"/>
            <w:tcBorders>
              <w:bottom w:val="single" w:sz="6" w:space="0" w:color="7DB655"/>
            </w:tcBorders>
            <w:tcMar>
              <w:bottom w:w="28" w:type="dxa"/>
            </w:tcMar>
            <w:vAlign w:val="center"/>
          </w:tcPr>
          <w:p>
            <w:pPr>
              <w:pStyle w:val="TableContents"/>
              <w:bidi w:val="0"/>
              <w:spacing w:before="0" w:after="283"/>
              <w:jc w:val="left"/>
              <w:rPr/>
            </w:pPr>
            <w:r>
              <w:rPr/>
              <w:t> </w:t>
            </w:r>
          </w:p>
        </w:tc>
        <w:tc>
          <w:tcPr>
            <w:tcW w:w="73"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1015"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1,042,676</w:t>
            </w:r>
          </w:p>
        </w:tc>
        <w:tc>
          <w:tcPr>
            <w:tcW w:w="29"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0" w:type="dxa"/>
            <w:tcBorders>
              <w:bottom w:val="single" w:sz="6" w:space="0" w:color="7DB655"/>
            </w:tcBorders>
            <w:tcMar>
              <w:bottom w:w="28" w:type="dxa"/>
            </w:tcMar>
            <w:vAlign w:val="center"/>
          </w:tcPr>
          <w:p>
            <w:pPr>
              <w:pStyle w:val="TableContents"/>
              <w:bidi w:val="0"/>
              <w:spacing w:before="0" w:after="283"/>
              <w:jc w:val="left"/>
              <w:rPr/>
            </w:pPr>
            <w:r>
              <w:rPr/>
              <w:t> </w:t>
            </w:r>
          </w:p>
        </w:tc>
        <w:tc>
          <w:tcPr>
            <w:tcW w:w="80"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997"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1,636,895</w:t>
            </w:r>
          </w:p>
        </w:tc>
        <w:tc>
          <w:tcPr>
            <w:tcW w:w="33"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80" w:type="dxa"/>
            <w:tcBorders>
              <w:bottom w:val="single" w:sz="6" w:space="0" w:color="7DB655"/>
            </w:tcBorders>
            <w:tcMar>
              <w:bottom w:w="28" w:type="dxa"/>
            </w:tcMar>
            <w:vAlign w:val="center"/>
          </w:tcPr>
          <w:p>
            <w:pPr>
              <w:pStyle w:val="TableContents"/>
              <w:bidi w:val="0"/>
              <w:spacing w:before="0" w:after="283"/>
              <w:jc w:val="left"/>
              <w:rPr/>
            </w:pPr>
            <w:r>
              <w:rPr/>
              <w:t> </w:t>
            </w:r>
          </w:p>
        </w:tc>
        <w:tc>
          <w:tcPr>
            <w:tcW w:w="80"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997"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1,096,335</w:t>
            </w:r>
          </w:p>
        </w:tc>
        <w:tc>
          <w:tcPr>
            <w:tcW w:w="33"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6" w:type="dxa"/>
            <w:tcBorders>
              <w:bottom w:val="single" w:sz="6" w:space="0" w:color="7DB655"/>
            </w:tcBorders>
            <w:tcMar>
              <w:bottom w:w="28" w:type="dxa"/>
            </w:tcMar>
            <w:vAlign w:val="center"/>
          </w:tcPr>
          <w:p>
            <w:pPr>
              <w:pStyle w:val="TableContents"/>
              <w:bidi w:val="0"/>
              <w:spacing w:before="0" w:after="283"/>
              <w:jc w:val="left"/>
              <w:rPr/>
            </w:pPr>
            <w:r>
              <w:rPr/>
              <w:t> </w:t>
            </w:r>
          </w:p>
        </w:tc>
        <w:tc>
          <w:tcPr>
            <w:tcW w:w="66"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574"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193.60</w:t>
            </w:r>
          </w:p>
        </w:tc>
        <w:tc>
          <w:tcPr>
            <w:tcW w:w="25"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6" w:type="dxa"/>
            <w:tcBorders>
              <w:bottom w:val="single" w:sz="6" w:space="0" w:color="7DB655"/>
            </w:tcBorders>
            <w:tcMar>
              <w:bottom w:w="28" w:type="dxa"/>
            </w:tcMar>
            <w:vAlign w:val="center"/>
          </w:tcPr>
          <w:p>
            <w:pPr>
              <w:pStyle w:val="TableContents"/>
              <w:bidi w:val="0"/>
              <w:spacing w:before="0" w:after="283"/>
              <w:jc w:val="left"/>
              <w:rPr/>
            </w:pPr>
            <w:r>
              <w:rPr/>
              <w:t> </w:t>
            </w:r>
          </w:p>
        </w:tc>
        <w:tc>
          <w:tcPr>
            <w:tcW w:w="66" w:type="dxa"/>
            <w:tcBorders>
              <w:bottom w:val="single" w:sz="6" w:space="0" w:color="7DB655"/>
            </w:tcBorders>
            <w:tcMar>
              <w:bottom w:w="28" w:type="dxa"/>
            </w:tcMar>
            <w:vAlign w:val="center"/>
          </w:tcPr>
          <w:p>
            <w:pPr>
              <w:pStyle w:val="TableContents"/>
              <w:bidi w:val="0"/>
              <w:spacing w:before="0" w:after="283"/>
              <w:jc w:val="left"/>
              <w:rPr/>
            </w:pPr>
            <w:r>
              <w:rPr/>
              <w:t> </w:t>
            </w:r>
          </w:p>
        </w:tc>
        <w:tc>
          <w:tcPr>
            <w:tcW w:w="66"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574"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166.08</w:t>
            </w:r>
          </w:p>
        </w:tc>
        <w:tc>
          <w:tcPr>
            <w:tcW w:w="32"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93" w:type="dxa"/>
            <w:tcBorders>
              <w:bottom w:val="single" w:sz="6" w:space="0" w:color="7DB655"/>
            </w:tcBorders>
            <w:tcMar>
              <w:bottom w:w="28" w:type="dxa"/>
            </w:tcMar>
            <w:vAlign w:val="center"/>
          </w:tcPr>
          <w:p>
            <w:pPr>
              <w:pStyle w:val="TableContents"/>
              <w:bidi w:val="0"/>
              <w:spacing w:before="0" w:after="283"/>
              <w:jc w:val="left"/>
              <w:rPr/>
            </w:pPr>
            <w:r>
              <w:rPr/>
              <w:t> </w:t>
            </w:r>
          </w:p>
        </w:tc>
        <w:tc>
          <w:tcPr>
            <w:tcW w:w="93"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949"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112,045</w:t>
            </w:r>
          </w:p>
        </w:tc>
        <w:tc>
          <w:tcPr>
            <w:tcW w:w="37"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92" w:type="dxa"/>
            <w:tcBorders>
              <w:bottom w:val="single" w:sz="6" w:space="0" w:color="7DB655"/>
            </w:tcBorders>
            <w:tcMar>
              <w:bottom w:w="28" w:type="dxa"/>
            </w:tcMar>
            <w:vAlign w:val="center"/>
          </w:tcPr>
          <w:p>
            <w:pPr>
              <w:pStyle w:val="TableContents"/>
              <w:bidi w:val="0"/>
              <w:spacing w:before="0" w:after="283"/>
              <w:jc w:val="left"/>
              <w:rPr/>
            </w:pPr>
            <w:r>
              <w:rPr/>
              <w:t> </w:t>
            </w:r>
          </w:p>
        </w:tc>
        <w:tc>
          <w:tcPr>
            <w:tcW w:w="92" w:type="dxa"/>
            <w:tcBorders>
              <w:bottom w:val="single" w:sz="6" w:space="0" w:color="7DB655"/>
            </w:tcBorders>
            <w:tcMar>
              <w:bottom w:w="40" w:type="dxa"/>
            </w:tcMar>
            <w:vAlign w:val="center"/>
          </w:tcPr>
          <w:p>
            <w:pPr>
              <w:pStyle w:val="TableContents"/>
              <w:bidi w:val="0"/>
              <w:spacing w:lineRule="atLeast" w:line="220" w:before="0" w:after="0"/>
              <w:jc w:val="left"/>
              <w:rPr>
                <w:color w:val="191919"/>
              </w:rPr>
            </w:pPr>
            <w:r>
              <w:rPr>
                <w:color w:val="191919"/>
              </w:rPr>
              <w:t> </w:t>
            </w:r>
          </w:p>
        </w:tc>
        <w:tc>
          <w:tcPr>
            <w:tcW w:w="943" w:type="dxa"/>
            <w:tcBorders>
              <w:bottom w:val="single" w:sz="6" w:space="0" w:color="7DB655"/>
            </w:tcBorders>
            <w:tcMar>
              <w:bottom w:w="40" w:type="dxa"/>
            </w:tcM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269,638</w:t>
            </w:r>
          </w:p>
        </w:tc>
        <w:tc>
          <w:tcPr>
            <w:tcW w:w="61" w:type="dxa"/>
            <w:tcBorders>
              <w:bottom w:val="single" w:sz="6" w:space="0" w:color="7DB65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305"/>
        <w:gridCol w:w="3020"/>
      </w:tblGrid>
      <w:tr>
        <w:trPr/>
        <w:tc>
          <w:tcPr>
            <w:tcW w:w="305" w:type="dxa"/>
            <w:tcBorders/>
            <w:vAlign w:val="center"/>
          </w:tcPr>
          <w:p>
            <w:pPr>
              <w:pStyle w:val="TableContents"/>
              <w:bidi w:val="0"/>
              <w:spacing w:before="0" w:after="0"/>
              <w:jc w:val="left"/>
              <w:rPr>
                <w:i/>
                <w:color w:val="191919"/>
              </w:rPr>
            </w:pPr>
            <w:r>
              <w:rPr>
                <w:i/>
                <w:color w:val="191919"/>
              </w:rPr>
              <w:t>(1)</w:t>
            </w:r>
          </w:p>
        </w:tc>
        <w:tc>
          <w:tcPr>
            <w:tcW w:w="302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individuals comprising the PEO and </w:t>
            </w:r>
          </w:p>
          <w:p>
            <w:pPr>
              <w:pStyle w:val="TableContents"/>
              <w:bidi w:val="0"/>
              <w:spacing w:before="0" w:after="0"/>
              <w:jc w:val="left"/>
              <w:rPr>
                <w:rFonts w:ascii="Arial" w:hAnsi="Arial"/>
                <w:i/>
                <w:color w:val="191919"/>
                <w:sz w:val="14"/>
              </w:rPr>
            </w:pPr>
            <w:r>
              <w:rPr>
                <w:rFonts w:ascii="Arial" w:hAnsi="Arial"/>
                <w:i/>
                <w:color w:val="191919"/>
                <w:sz w:val="14"/>
              </w:rPr>
              <w:t>Non-PEO</w:t>
            </w:r>
          </w:p>
          <w:p>
            <w:pPr>
              <w:pStyle w:val="TableContents"/>
              <w:bidi w:val="0"/>
              <w:spacing w:before="0" w:after="0"/>
              <w:jc w:val="left"/>
              <w:rPr>
                <w:rFonts w:ascii="Arial" w:hAnsi="Arial"/>
                <w:i/>
                <w:color w:val="191919"/>
                <w:sz w:val="14"/>
              </w:rPr>
            </w:pPr>
            <w:r>
              <w:rPr>
                <w:rFonts w:ascii="Arial" w:hAnsi="Arial"/>
                <w:i/>
                <w:color w:val="191919"/>
                <w:sz w:val="14"/>
              </w:rPr>
              <w:t xml:space="preserve">NEOs for each year presented are listed below: </w:t>
            </w:r>
          </w:p>
        </w:tc>
      </w:tr>
    </w:tbl>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815"/>
        <w:gridCol w:w="120"/>
        <w:gridCol w:w="1370"/>
        <w:gridCol w:w="120"/>
        <w:gridCol w:w="1370"/>
        <w:gridCol w:w="120"/>
        <w:gridCol w:w="1310"/>
        <w:gridCol w:w="120"/>
        <w:gridCol w:w="1310"/>
        <w:gridCol w:w="120"/>
        <w:gridCol w:w="1280"/>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56" w:space="0" w:color="7DB655"/>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70" w:type="dxa"/>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2026</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70" w:type="dxa"/>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2025</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10" w:type="dxa"/>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2024</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310" w:type="dxa"/>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2023</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80" w:type="dxa"/>
            <w:tcBorders>
              <w:bottom w:val="single" w:sz="56" w:space="0" w:color="7DB655"/>
            </w:tcBorders>
            <w:tcMar>
              <w:bottom w:w="80" w:type="dxa"/>
            </w:tcMar>
            <w:vAlign w:val="center"/>
          </w:tcPr>
          <w:p>
            <w:pPr>
              <w:pStyle w:val="TableContents"/>
              <w:bidi w:val="0"/>
              <w:spacing w:before="0" w:after="0"/>
              <w:jc w:val="center"/>
              <w:rPr>
                <w:b/>
                <w:color w:val="191919"/>
              </w:rPr>
            </w:pPr>
            <w:r>
              <w:rPr>
                <w:b/>
                <w:color w:val="191919"/>
              </w:rPr>
              <w:t>2022</w:t>
            </w:r>
          </w:p>
        </w:tc>
      </w:tr>
      <w:tr>
        <w:trPr/>
        <w:tc>
          <w:tcPr>
            <w:tcW w:w="815"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i/>
                <w:color w:val="191919"/>
                <w:sz w:val="16"/>
              </w:rPr>
            </w:pPr>
            <w:r>
              <w:rPr>
                <w:rFonts w:ascii="Arial" w:hAnsi="Arial"/>
                <w:i/>
                <w:color w:val="191919"/>
                <w:sz w:val="16"/>
              </w:rPr>
              <w:t>PEO:</w:t>
            </w:r>
          </w:p>
          <w:p>
            <w:pPr>
              <w:pStyle w:val="TableContents"/>
              <w:bidi w:val="0"/>
              <w:spacing w:lineRule="atLeast" w:line="200" w:before="0" w:after="20"/>
              <w:jc w:val="left"/>
              <w:rPr>
                <w:rFonts w:ascii="Arial" w:hAnsi="Arial"/>
                <w:i/>
                <w:color w:val="191919"/>
                <w:sz w:val="16"/>
              </w:rPr>
            </w:pPr>
            <w:r>
              <w:rPr>
                <w:rFonts w:ascii="Arial" w:hAnsi="Arial"/>
                <w:i/>
                <w:color w:val="191919"/>
                <w:sz w:val="16"/>
              </w:rPr>
              <w:t>NON-PEO</w:t>
            </w:r>
          </w:p>
          <w:p>
            <w:pPr>
              <w:pStyle w:val="TableContents"/>
              <w:bidi w:val="0"/>
              <w:spacing w:lineRule="atLeast" w:line="200" w:before="0" w:after="20"/>
              <w:jc w:val="left"/>
              <w:rPr>
                <w:rFonts w:ascii="Arial" w:hAnsi="Arial"/>
                <w:i/>
                <w:color w:val="191919"/>
                <w:sz w:val="16"/>
              </w:rPr>
            </w:pPr>
            <w:r>
              <w:rPr>
                <w:rFonts w:ascii="Arial" w:hAnsi="Arial"/>
                <w:i/>
                <w:color w:val="191919"/>
                <w:sz w:val="16"/>
              </w:rPr>
              <w:t xml:space="preserve">NEOS: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370"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191919"/>
                <w:sz w:val="16"/>
              </w:rPr>
            </w:pPr>
            <w:r>
              <w:rPr>
                <w:rFonts w:ascii="Arial" w:hAnsi="Arial"/>
                <w:i/>
                <w:color w:val="191919"/>
                <w:sz w:val="16"/>
              </w:rPr>
              <w:t>Joseph</w:t>
            </w:r>
          </w:p>
          <w:p>
            <w:pPr>
              <w:pStyle w:val="TableContents"/>
              <w:bidi w:val="0"/>
              <w:spacing w:before="0" w:after="0"/>
              <w:jc w:val="center"/>
              <w:rPr>
                <w:rFonts w:ascii="Arial" w:hAnsi="Arial"/>
                <w:i/>
                <w:color w:val="191919"/>
                <w:sz w:val="16"/>
              </w:rPr>
            </w:pPr>
            <w:r>
              <w:rPr>
                <w:rFonts w:ascii="Arial" w:hAnsi="Arial"/>
                <w:i/>
                <w:color w:val="191919"/>
                <w:sz w:val="16"/>
              </w:rPr>
              <w:t>B. Armes</w:t>
            </w:r>
          </w:p>
          <w:p>
            <w:pPr>
              <w:pStyle w:val="TableContents"/>
              <w:bidi w:val="0"/>
              <w:spacing w:before="0" w:after="0"/>
              <w:jc w:val="center"/>
              <w:rPr>
                <w:rFonts w:ascii="Arial" w:hAnsi="Arial"/>
                <w:i/>
                <w:color w:val="191919"/>
                <w:sz w:val="16"/>
              </w:rPr>
            </w:pPr>
            <w:r>
              <w:rPr>
                <w:rFonts w:ascii="Arial" w:hAnsi="Arial"/>
                <w:i/>
                <w:color w:val="191919"/>
                <w:sz w:val="16"/>
              </w:rPr>
              <w:t>James E. Perry</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Jeff A. Underwood</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Luke E. Alverson</w:t>
            </w:r>
          </w:p>
          <w:p>
            <w:pPr>
              <w:pStyle w:val="TableContents"/>
              <w:bidi w:val="0"/>
              <w:spacing w:lineRule="atLeast" w:line="200" w:before="0" w:after="20"/>
              <w:jc w:val="center"/>
              <w:rPr>
                <w:rFonts w:ascii="Arial" w:hAnsi="Arial"/>
                <w:i/>
                <w:color w:val="191919"/>
                <w:sz w:val="16"/>
              </w:rPr>
            </w:pPr>
            <w:r>
              <w:rPr>
                <w:rFonts w:ascii="Arial" w:hAnsi="Arial"/>
                <w:i/>
                <w:color w:val="191919"/>
                <w:sz w:val="16"/>
              </w:rPr>
              <w:t>Danielle R. Garde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370"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191919"/>
                <w:sz w:val="16"/>
              </w:rPr>
            </w:pPr>
            <w:r>
              <w:rPr>
                <w:rFonts w:ascii="Arial" w:hAnsi="Arial"/>
                <w:i/>
                <w:color w:val="191919"/>
                <w:sz w:val="16"/>
              </w:rPr>
              <w:t>Joseph</w:t>
            </w:r>
          </w:p>
          <w:p>
            <w:pPr>
              <w:pStyle w:val="TableContents"/>
              <w:bidi w:val="0"/>
              <w:spacing w:before="0" w:after="0"/>
              <w:jc w:val="center"/>
              <w:rPr>
                <w:color w:val="191919"/>
              </w:rPr>
            </w:pPr>
            <w:r>
              <w:rPr>
                <w:color w:val="191919"/>
              </w:rPr>
              <w:t> </w:t>
            </w:r>
            <w:r>
              <w:rPr>
                <w:rFonts w:ascii="Arial" w:hAnsi="Arial"/>
                <w:i/>
                <w:color w:val="191919"/>
                <w:sz w:val="16"/>
              </w:rPr>
              <w:t>B. Armes</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James E. Perry</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Donal</w:t>
            </w:r>
          </w:p>
          <w:p>
            <w:pPr>
              <w:pStyle w:val="TableContents"/>
              <w:bidi w:val="0"/>
              <w:spacing w:lineRule="atLeast" w:line="200" w:before="0" w:after="0"/>
              <w:jc w:val="center"/>
              <w:rPr>
                <w:color w:val="191919"/>
              </w:rPr>
            </w:pPr>
            <w:r>
              <w:rPr>
                <w:color w:val="191919"/>
              </w:rPr>
              <w:t> </w:t>
            </w:r>
            <w:r>
              <w:rPr>
                <w:rFonts w:ascii="Arial" w:hAnsi="Arial"/>
                <w:i/>
                <w:color w:val="191919"/>
                <w:sz w:val="16"/>
              </w:rPr>
              <w:t>J. Sullivan</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Luke E. Alverson</w:t>
            </w:r>
          </w:p>
          <w:p>
            <w:pPr>
              <w:pStyle w:val="TableContents"/>
              <w:bidi w:val="0"/>
              <w:spacing w:lineRule="atLeast" w:line="200" w:before="0" w:after="20"/>
              <w:jc w:val="center"/>
              <w:rPr>
                <w:rFonts w:ascii="Arial" w:hAnsi="Arial"/>
                <w:i/>
                <w:color w:val="191919"/>
                <w:sz w:val="16"/>
              </w:rPr>
            </w:pPr>
            <w:r>
              <w:rPr>
                <w:rFonts w:ascii="Arial" w:hAnsi="Arial"/>
                <w:i/>
                <w:color w:val="191919"/>
                <w:sz w:val="16"/>
              </w:rPr>
              <w:t>Jeff A. Underwood</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310"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191919"/>
                <w:sz w:val="16"/>
              </w:rPr>
            </w:pPr>
            <w:r>
              <w:rPr>
                <w:rFonts w:ascii="Arial" w:hAnsi="Arial"/>
                <w:i/>
                <w:color w:val="191919"/>
                <w:sz w:val="16"/>
              </w:rPr>
              <w:t>Joseph</w:t>
            </w:r>
          </w:p>
          <w:p>
            <w:pPr>
              <w:pStyle w:val="TableContents"/>
              <w:bidi w:val="0"/>
              <w:spacing w:before="0" w:after="0"/>
              <w:jc w:val="center"/>
              <w:rPr>
                <w:color w:val="191919"/>
              </w:rPr>
            </w:pPr>
            <w:r>
              <w:rPr>
                <w:color w:val="191919"/>
              </w:rPr>
              <w:t> </w:t>
            </w:r>
            <w:r>
              <w:rPr>
                <w:rFonts w:ascii="Arial" w:hAnsi="Arial"/>
                <w:i/>
                <w:color w:val="191919"/>
                <w:sz w:val="16"/>
              </w:rPr>
              <w:t>B. Armes</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James E. Perry</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Donal</w:t>
            </w:r>
          </w:p>
          <w:p>
            <w:pPr>
              <w:pStyle w:val="TableContents"/>
              <w:bidi w:val="0"/>
              <w:spacing w:lineRule="atLeast" w:line="200" w:before="0" w:after="0"/>
              <w:jc w:val="center"/>
              <w:rPr>
                <w:color w:val="191919"/>
              </w:rPr>
            </w:pPr>
            <w:r>
              <w:rPr>
                <w:color w:val="191919"/>
              </w:rPr>
              <w:t> </w:t>
            </w:r>
            <w:r>
              <w:rPr>
                <w:rFonts w:ascii="Arial" w:hAnsi="Arial"/>
                <w:i/>
                <w:color w:val="191919"/>
                <w:sz w:val="16"/>
              </w:rPr>
              <w:t>J. Sullivan</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Luke E. Alverson</w:t>
            </w:r>
          </w:p>
          <w:p>
            <w:pPr>
              <w:pStyle w:val="TableContents"/>
              <w:bidi w:val="0"/>
              <w:spacing w:lineRule="atLeast" w:line="200" w:before="0" w:after="20"/>
              <w:jc w:val="center"/>
              <w:rPr>
                <w:rFonts w:ascii="Arial" w:hAnsi="Arial"/>
                <w:i/>
                <w:color w:val="191919"/>
                <w:sz w:val="16"/>
              </w:rPr>
            </w:pPr>
            <w:r>
              <w:rPr>
                <w:rFonts w:ascii="Arial" w:hAnsi="Arial"/>
                <w:i/>
                <w:color w:val="191919"/>
                <w:sz w:val="16"/>
              </w:rPr>
              <w:t>Danielle R. Garde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310"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191919"/>
                <w:sz w:val="16"/>
              </w:rPr>
            </w:pPr>
            <w:r>
              <w:rPr>
                <w:rFonts w:ascii="Arial" w:hAnsi="Arial"/>
                <w:i/>
                <w:color w:val="191919"/>
                <w:sz w:val="16"/>
              </w:rPr>
              <w:t>Joseph</w:t>
            </w:r>
          </w:p>
          <w:p>
            <w:pPr>
              <w:pStyle w:val="TableContents"/>
              <w:bidi w:val="0"/>
              <w:spacing w:before="0" w:after="0"/>
              <w:jc w:val="center"/>
              <w:rPr>
                <w:color w:val="191919"/>
              </w:rPr>
            </w:pPr>
            <w:r>
              <w:rPr>
                <w:color w:val="191919"/>
              </w:rPr>
              <w:t> </w:t>
            </w:r>
            <w:r>
              <w:rPr>
                <w:rFonts w:ascii="Arial" w:hAnsi="Arial"/>
                <w:i/>
                <w:color w:val="191919"/>
                <w:sz w:val="16"/>
              </w:rPr>
              <w:t>B. Armes</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James E. Perry</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Donal</w:t>
            </w:r>
          </w:p>
          <w:p>
            <w:pPr>
              <w:pStyle w:val="TableContents"/>
              <w:bidi w:val="0"/>
              <w:spacing w:lineRule="atLeast" w:line="200" w:before="0" w:after="0"/>
              <w:jc w:val="center"/>
              <w:rPr>
                <w:color w:val="191919"/>
              </w:rPr>
            </w:pPr>
            <w:r>
              <w:rPr>
                <w:color w:val="191919"/>
              </w:rPr>
              <w:t> </w:t>
            </w:r>
            <w:r>
              <w:rPr>
                <w:rFonts w:ascii="Arial" w:hAnsi="Arial"/>
                <w:i/>
                <w:color w:val="191919"/>
                <w:sz w:val="16"/>
              </w:rPr>
              <w:t>J. Sullivan</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Luke E. Alverson</w:t>
            </w:r>
          </w:p>
          <w:p>
            <w:pPr>
              <w:pStyle w:val="TableContents"/>
              <w:bidi w:val="0"/>
              <w:spacing w:lineRule="atLeast" w:line="200" w:before="0" w:after="20"/>
              <w:jc w:val="center"/>
              <w:rPr>
                <w:rFonts w:ascii="Arial" w:hAnsi="Arial"/>
                <w:i/>
                <w:color w:val="191919"/>
                <w:sz w:val="16"/>
              </w:rPr>
            </w:pPr>
            <w:r>
              <w:rPr>
                <w:rFonts w:ascii="Arial" w:hAnsi="Arial"/>
                <w:i/>
                <w:color w:val="191919"/>
                <w:sz w:val="16"/>
              </w:rPr>
              <w:t>Danielle R. Garde</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280" w:type="dxa"/>
            <w:tcBorders>
              <w:bottom w:val="single" w:sz="6" w:space="0" w:color="7DB655"/>
            </w:tcBorders>
            <w:tcMar>
              <w:bottom w:w="6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191919"/>
                <w:sz w:val="16"/>
              </w:rPr>
            </w:pPr>
            <w:r>
              <w:rPr>
                <w:rFonts w:ascii="Arial" w:hAnsi="Arial"/>
                <w:i/>
                <w:color w:val="191919"/>
                <w:sz w:val="16"/>
              </w:rPr>
              <w:t>Joseph</w:t>
            </w:r>
          </w:p>
          <w:p>
            <w:pPr>
              <w:pStyle w:val="TableContents"/>
              <w:bidi w:val="0"/>
              <w:spacing w:before="0" w:after="0"/>
              <w:jc w:val="center"/>
              <w:rPr>
                <w:color w:val="191919"/>
              </w:rPr>
            </w:pPr>
            <w:r>
              <w:rPr>
                <w:color w:val="191919"/>
              </w:rPr>
              <w:t> </w:t>
            </w:r>
            <w:r>
              <w:rPr>
                <w:rFonts w:ascii="Arial" w:hAnsi="Arial"/>
                <w:i/>
                <w:color w:val="191919"/>
                <w:sz w:val="16"/>
              </w:rPr>
              <w:t>B. Armes</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James E. Perry</w:t>
            </w:r>
          </w:p>
          <w:p>
            <w:pPr>
              <w:pStyle w:val="TableContents"/>
              <w:bidi w:val="0"/>
              <w:spacing w:lineRule="atLeast" w:line="200" w:before="0" w:after="0"/>
              <w:jc w:val="center"/>
              <w:rPr>
                <w:rFonts w:ascii="Arial" w:hAnsi="Arial"/>
                <w:i/>
                <w:color w:val="191919"/>
                <w:sz w:val="16"/>
              </w:rPr>
            </w:pPr>
            <w:r>
              <w:rPr>
                <w:rFonts w:ascii="Arial" w:hAnsi="Arial"/>
                <w:i/>
                <w:color w:val="191919"/>
                <w:sz w:val="16"/>
              </w:rPr>
              <w:t>Donal</w:t>
            </w:r>
          </w:p>
          <w:p>
            <w:pPr>
              <w:pStyle w:val="TableContents"/>
              <w:bidi w:val="0"/>
              <w:spacing w:lineRule="atLeast" w:line="200" w:before="0" w:after="0"/>
              <w:jc w:val="center"/>
              <w:rPr>
                <w:color w:val="191919"/>
              </w:rPr>
            </w:pPr>
            <w:r>
              <w:rPr>
                <w:color w:val="191919"/>
              </w:rPr>
              <w:t> </w:t>
            </w:r>
            <w:r>
              <w:rPr>
                <w:rFonts w:ascii="Arial" w:hAnsi="Arial"/>
                <w:i/>
                <w:color w:val="191919"/>
                <w:sz w:val="16"/>
              </w:rPr>
              <w:t>J. Sullivan</w:t>
            </w:r>
          </w:p>
          <w:p>
            <w:pPr>
              <w:pStyle w:val="TableContents"/>
              <w:bidi w:val="0"/>
              <w:spacing w:lineRule="atLeast" w:line="200" w:before="0" w:after="20"/>
              <w:jc w:val="center"/>
              <w:rPr>
                <w:rFonts w:ascii="Arial" w:hAnsi="Arial"/>
                <w:i/>
                <w:color w:val="191919"/>
                <w:sz w:val="16"/>
              </w:rPr>
            </w:pPr>
            <w:r>
              <w:rPr>
                <w:rFonts w:ascii="Arial" w:hAnsi="Arial"/>
                <w:i/>
                <w:color w:val="191919"/>
                <w:sz w:val="16"/>
              </w:rPr>
              <w:t>Luke E. Alverson</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0"/>
              <w:jc w:val="left"/>
              <w:rPr>
                <w:i/>
                <w:color w:val="191919"/>
              </w:rPr>
            </w:pPr>
            <w:r>
              <w:rPr>
                <w:i/>
                <w:color w:val="191919"/>
              </w:rPr>
              <w:t>(2)</w:t>
            </w:r>
          </w:p>
        </w:tc>
        <w:tc>
          <w:tcPr>
            <w:tcW w:w="831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amounts shown for CAP have been calculated in accordance with Item 402(v) of Regulation </w:t>
            </w:r>
          </w:p>
          <w:p>
            <w:pPr>
              <w:pStyle w:val="TableContents"/>
              <w:bidi w:val="0"/>
              <w:spacing w:before="0" w:after="0"/>
              <w:jc w:val="left"/>
              <w:rPr>
                <w:rFonts w:ascii="Arial" w:hAnsi="Arial"/>
                <w:i/>
                <w:color w:val="191919"/>
                <w:sz w:val="14"/>
              </w:rPr>
            </w:pPr>
            <w:r>
              <w:rPr>
                <w:rFonts w:ascii="Arial" w:hAnsi="Arial"/>
                <w:i/>
                <w:color w:val="191919"/>
                <w:sz w:val="14"/>
              </w:rPr>
              <w:t>S-K.</w:t>
            </w:r>
          </w:p>
          <w:p>
            <w:pPr>
              <w:pStyle w:val="TableContents"/>
              <w:bidi w:val="0"/>
              <w:spacing w:before="0" w:after="0"/>
              <w:jc w:val="left"/>
              <w:rPr>
                <w:rFonts w:ascii="Arial" w:hAnsi="Arial"/>
                <w:i/>
                <w:color w:val="191919"/>
                <w:sz w:val="14"/>
              </w:rPr>
            </w:pPr>
            <w:r>
              <w:rPr>
                <w:rFonts w:ascii="Arial" w:hAnsi="Arial"/>
                <w:i/>
                <w:color w:val="191919"/>
                <w:sz w:val="14"/>
              </w:rPr>
              <w:t xml:space="preserve">To calculate CAP for the PEO and </w:t>
            </w:r>
          </w:p>
          <w:p>
            <w:pPr>
              <w:pStyle w:val="TableContents"/>
              <w:bidi w:val="0"/>
              <w:spacing w:before="0" w:after="0"/>
              <w:jc w:val="left"/>
              <w:rPr>
                <w:rFonts w:ascii="Arial" w:hAnsi="Arial"/>
                <w:i/>
                <w:color w:val="191919"/>
                <w:sz w:val="14"/>
              </w:rPr>
            </w:pPr>
            <w:r>
              <w:rPr>
                <w:rFonts w:ascii="Arial" w:hAnsi="Arial"/>
                <w:i/>
                <w:color w:val="191919"/>
                <w:sz w:val="14"/>
              </w:rPr>
              <w:t>Non-PEO</w:t>
            </w:r>
          </w:p>
          <w:p>
            <w:pPr>
              <w:pStyle w:val="TableContents"/>
              <w:bidi w:val="0"/>
              <w:spacing w:before="0" w:after="0"/>
              <w:jc w:val="left"/>
              <w:rPr>
                <w:rFonts w:ascii="Arial" w:hAnsi="Arial"/>
                <w:i/>
                <w:color w:val="191919"/>
                <w:sz w:val="14"/>
              </w:rPr>
            </w:pPr>
            <w:r>
              <w:rPr>
                <w:rFonts w:ascii="Arial" w:hAnsi="Arial"/>
                <w:i/>
                <w:color w:val="191919"/>
                <w:sz w:val="14"/>
              </w:rPr>
              <w:t xml:space="preserve">NEOs, the following adjustments were made to the Summary Compensation Table (“SCT”) Total in accordance with SEC methodology: </w:t>
            </w:r>
          </w:p>
        </w:tc>
      </w:tr>
    </w:tbl>
    <w:p>
      <w:pPr>
        <w:pStyle w:val="TextBody"/>
        <w:bidi w:val="0"/>
        <w:spacing w:before="0" w:after="0"/>
        <w:jc w:val="left"/>
        <w:rPr/>
      </w:pPr>
      <w:r>
        <w:rPr/>
        <w:t> </w:t>
      </w:r>
    </w:p>
    <w:tbl>
      <w:tblPr>
        <w:tblW w:w="14130" w:type="dxa"/>
        <w:jc w:val="left"/>
        <w:tblInd w:w="0" w:type="dxa"/>
        <w:tblLayout w:type="fixed"/>
        <w:tblCellMar>
          <w:top w:w="0" w:type="dxa"/>
          <w:left w:w="0" w:type="dxa"/>
          <w:bottom w:w="0" w:type="dxa"/>
          <w:right w:w="0" w:type="dxa"/>
        </w:tblCellMar>
      </w:tblPr>
      <w:tblGrid>
        <w:gridCol w:w="1085"/>
        <w:gridCol w:w="60"/>
        <w:gridCol w:w="60"/>
        <w:gridCol w:w="1055"/>
        <w:gridCol w:w="155"/>
        <w:gridCol w:w="60"/>
        <w:gridCol w:w="60"/>
        <w:gridCol w:w="980"/>
        <w:gridCol w:w="155"/>
        <w:gridCol w:w="60"/>
        <w:gridCol w:w="60"/>
        <w:gridCol w:w="1100"/>
        <w:gridCol w:w="155"/>
        <w:gridCol w:w="60"/>
        <w:gridCol w:w="60"/>
        <w:gridCol w:w="980"/>
        <w:gridCol w:w="155"/>
        <w:gridCol w:w="60"/>
        <w:gridCol w:w="60"/>
        <w:gridCol w:w="1100"/>
        <w:gridCol w:w="155"/>
        <w:gridCol w:w="60"/>
        <w:gridCol w:w="60"/>
        <w:gridCol w:w="980"/>
        <w:gridCol w:w="155"/>
        <w:gridCol w:w="60"/>
        <w:gridCol w:w="60"/>
        <w:gridCol w:w="1055"/>
        <w:gridCol w:w="155"/>
        <w:gridCol w:w="60"/>
        <w:gridCol w:w="60"/>
        <w:gridCol w:w="980"/>
        <w:gridCol w:w="155"/>
        <w:gridCol w:w="60"/>
        <w:gridCol w:w="60"/>
        <w:gridCol w:w="1175"/>
        <w:gridCol w:w="155"/>
        <w:gridCol w:w="60"/>
        <w:gridCol w:w="60"/>
        <w:gridCol w:w="875"/>
        <w:gridCol w:w="17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0" w:type="dxa"/>
            <w:gridSpan w:val="6"/>
            <w:tcBorders>
              <w:bottom w:val="single" w:sz="2" w:space="0" w:color="7DB655"/>
            </w:tcBorders>
            <w:tcMar>
              <w:bottom w:w="28" w:type="dxa"/>
            </w:tcMar>
            <w:vAlign w:val="center"/>
          </w:tcPr>
          <w:p>
            <w:pPr>
              <w:pStyle w:val="TableContents"/>
              <w:bidi w:val="0"/>
              <w:spacing w:before="0" w:after="0"/>
              <w:jc w:val="center"/>
              <w:rPr>
                <w:b/>
                <w:color w:val="191919"/>
              </w:rPr>
            </w:pPr>
            <w:r>
              <w:rPr>
                <w:b/>
                <w:color w:val="191919"/>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5" w:type="dxa"/>
            <w:gridSpan w:val="6"/>
            <w:tcBorders>
              <w:bottom w:val="single" w:sz="2" w:space="0" w:color="7DB655"/>
            </w:tcBorders>
            <w:tcMar>
              <w:bottom w:w="28" w:type="dxa"/>
            </w:tcMar>
            <w:vAlign w:val="center"/>
          </w:tcPr>
          <w:p>
            <w:pPr>
              <w:pStyle w:val="TableContents"/>
              <w:bidi w:val="0"/>
              <w:spacing w:before="0" w:after="0"/>
              <w:jc w:val="center"/>
              <w:rPr>
                <w:b/>
                <w:color w:val="191919"/>
              </w:rPr>
            </w:pPr>
            <w:r>
              <w:rPr>
                <w:b/>
                <w:color w:val="191919"/>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5" w:type="dxa"/>
            <w:gridSpan w:val="6"/>
            <w:tcBorders>
              <w:bottom w:val="single" w:sz="2" w:space="0" w:color="7DB655"/>
            </w:tcBorders>
            <w:tcMar>
              <w:bottom w:w="28" w:type="dxa"/>
            </w:tcMar>
            <w:vAlign w:val="center"/>
          </w:tcPr>
          <w:p>
            <w:pPr>
              <w:pStyle w:val="TableContents"/>
              <w:bidi w:val="0"/>
              <w:spacing w:before="0" w:after="0"/>
              <w:jc w:val="center"/>
              <w:rPr>
                <w:b/>
                <w:color w:val="191919"/>
              </w:rPr>
            </w:pPr>
            <w:r>
              <w:rPr>
                <w:b/>
                <w:color w:val="191919"/>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0" w:type="dxa"/>
            <w:gridSpan w:val="6"/>
            <w:tcBorders>
              <w:bottom w:val="single" w:sz="2" w:space="0" w:color="7DB655"/>
            </w:tcBorders>
            <w:tcMar>
              <w:bottom w:w="28" w:type="dxa"/>
            </w:tcMar>
            <w:vAlign w:val="center"/>
          </w:tcPr>
          <w:p>
            <w:pPr>
              <w:pStyle w:val="TableContents"/>
              <w:bidi w:val="0"/>
              <w:spacing w:before="0" w:after="0"/>
              <w:jc w:val="center"/>
              <w:rPr>
                <w:b/>
                <w:color w:val="191919"/>
              </w:rPr>
            </w:pPr>
            <w:r>
              <w:rPr>
                <w:b/>
                <w:color w:val="191919"/>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2" w:space="0" w:color="7DB655"/>
            </w:tcBorders>
            <w:tcMar>
              <w:bottom w:w="28" w:type="dxa"/>
            </w:tcMar>
            <w:vAlign w:val="center"/>
          </w:tcPr>
          <w:p>
            <w:pPr>
              <w:pStyle w:val="TableContents"/>
              <w:bidi w:val="0"/>
              <w:spacing w:before="0" w:after="0"/>
              <w:jc w:val="center"/>
              <w:rPr>
                <w:b/>
                <w:color w:val="191919"/>
              </w:rPr>
            </w:pPr>
            <w:r>
              <w:rPr>
                <w:b/>
                <w:color w:val="191919"/>
              </w:rPr>
              <w:t>2022</w:t>
            </w:r>
          </w:p>
        </w:tc>
        <w:tc>
          <w:tcPr>
            <w:tcW w:w="170" w:type="dxa"/>
            <w:tcBorders/>
            <w:vAlign w:val="center"/>
          </w:tcPr>
          <w:p>
            <w:pPr>
              <w:pStyle w:val="TableContents"/>
              <w:bidi w:val="0"/>
              <w:spacing w:before="0" w:after="283"/>
              <w:jc w:val="left"/>
              <w:rPr/>
            </w:pPr>
            <w:r>
              <w:rPr/>
              <w:t> </w:t>
            </w:r>
          </w:p>
        </w:tc>
      </w:tr>
      <w:tr>
        <w:trPr/>
        <w:tc>
          <w:tcPr>
            <w:tcW w:w="108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Year</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15"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PEO</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t>NEO</w:t>
            </w:r>
          </w:p>
          <w:p>
            <w:pPr>
              <w:pStyle w:val="TableContents"/>
              <w:bidi w:val="0"/>
              <w:spacing w:before="0" w:after="0"/>
              <w:jc w:val="center"/>
              <w:rPr>
                <w:rFonts w:ascii="Arial" w:hAnsi="Arial"/>
                <w:b/>
                <w:color w:val="191919"/>
                <w:sz w:val="16"/>
              </w:rPr>
            </w:pPr>
            <w:r>
              <w:rPr>
                <w:rFonts w:ascii="Arial" w:hAnsi="Arial"/>
                <w:b/>
                <w:color w:val="191919"/>
                <w:sz w:val="16"/>
              </w:rPr>
              <w:t>Average</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60"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PEO</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t>NEO</w:t>
            </w:r>
          </w:p>
          <w:p>
            <w:pPr>
              <w:pStyle w:val="TableContents"/>
              <w:bidi w:val="0"/>
              <w:spacing w:before="0" w:after="0"/>
              <w:jc w:val="center"/>
              <w:rPr>
                <w:rFonts w:ascii="Arial" w:hAnsi="Arial"/>
                <w:b/>
                <w:color w:val="191919"/>
                <w:sz w:val="16"/>
              </w:rPr>
            </w:pPr>
            <w:r>
              <w:rPr>
                <w:rFonts w:ascii="Arial" w:hAnsi="Arial"/>
                <w:b/>
                <w:color w:val="191919"/>
                <w:sz w:val="16"/>
              </w:rPr>
              <w:t>Average</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60"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PEO</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t>NEO</w:t>
            </w:r>
          </w:p>
          <w:p>
            <w:pPr>
              <w:pStyle w:val="TableContents"/>
              <w:bidi w:val="0"/>
              <w:spacing w:before="0" w:after="0"/>
              <w:jc w:val="center"/>
              <w:rPr>
                <w:rFonts w:ascii="Arial" w:hAnsi="Arial"/>
                <w:b/>
                <w:color w:val="191919"/>
                <w:sz w:val="16"/>
              </w:rPr>
            </w:pPr>
            <w:r>
              <w:rPr>
                <w:rFonts w:ascii="Arial" w:hAnsi="Arial"/>
                <w:b/>
                <w:color w:val="191919"/>
                <w:sz w:val="16"/>
              </w:rPr>
              <w:t>Average</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15"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PEO</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040"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t>NEO</w:t>
            </w:r>
          </w:p>
          <w:p>
            <w:pPr>
              <w:pStyle w:val="TableContents"/>
              <w:bidi w:val="0"/>
              <w:spacing w:before="0" w:after="0"/>
              <w:jc w:val="center"/>
              <w:rPr>
                <w:rFonts w:ascii="Arial" w:hAnsi="Arial"/>
                <w:b/>
                <w:color w:val="191919"/>
                <w:sz w:val="16"/>
              </w:rPr>
            </w:pPr>
            <w:r>
              <w:rPr>
                <w:rFonts w:ascii="Arial" w:hAnsi="Arial"/>
                <w:b/>
                <w:color w:val="191919"/>
                <w:sz w:val="16"/>
              </w:rPr>
              <w:t>Average</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35"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PEO</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55" w:type="dxa"/>
            <w:tcBorders>
              <w:bottom w:val="single" w:sz="56" w:space="0" w:color="7DB655"/>
            </w:tcBorders>
            <w:tcMar>
              <w:bottom w:w="28" w:type="dxa"/>
            </w:tcMar>
            <w:vAlign w:val="center"/>
          </w:tcPr>
          <w:p>
            <w:pPr>
              <w:pStyle w:val="TableContents"/>
              <w:bidi w:val="0"/>
              <w:spacing w:before="0" w:after="283"/>
              <w:jc w:val="left"/>
              <w:rPr/>
            </w:pPr>
            <w:r>
              <w:rPr/>
              <w:t> </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935" w:type="dxa"/>
            <w:gridSpan w:val="2"/>
            <w:tcBorders>
              <w:bottom w:val="single" w:sz="56" w:space="0" w:color="7DB655"/>
            </w:tcBorders>
            <w:tcMar>
              <w:bottom w:w="80" w:type="dxa"/>
            </w:tcMar>
            <w:vAlign w:val="center"/>
          </w:tcPr>
          <w:p>
            <w:pPr>
              <w:pStyle w:val="TableContents"/>
              <w:bidi w:val="0"/>
              <w:spacing w:before="0" w:after="0"/>
              <w:jc w:val="center"/>
              <w:rPr>
                <w:rFonts w:ascii="Arial" w:hAnsi="Arial"/>
                <w:b/>
                <w:color w:val="191919"/>
                <w:sz w:val="16"/>
              </w:rPr>
            </w:pPr>
            <w:r>
              <w:rPr>
                <w:rFonts w:ascii="Arial" w:hAnsi="Arial"/>
                <w:b/>
                <w:color w:val="191919"/>
                <w:sz w:val="16"/>
              </w:rPr>
              <w:t>Non-PEO</w:t>
            </w:r>
          </w:p>
          <w:p>
            <w:pPr>
              <w:pStyle w:val="TableContents"/>
              <w:bidi w:val="0"/>
              <w:spacing w:before="0" w:after="0"/>
              <w:jc w:val="center"/>
              <w:rPr>
                <w:rFonts w:ascii="Arial" w:hAnsi="Arial"/>
                <w:b/>
                <w:color w:val="191919"/>
                <w:sz w:val="16"/>
              </w:rPr>
            </w:pPr>
            <w:r>
              <w:rPr>
                <w:rFonts w:ascii="Arial" w:hAnsi="Arial"/>
                <w:b/>
                <w:color w:val="191919"/>
                <w:sz w:val="16"/>
              </w:rPr>
              <w:t>NEO</w:t>
            </w:r>
          </w:p>
          <w:p>
            <w:pPr>
              <w:pStyle w:val="TableContents"/>
              <w:bidi w:val="0"/>
              <w:spacing w:before="0" w:after="0"/>
              <w:jc w:val="center"/>
              <w:rPr>
                <w:rFonts w:ascii="Arial" w:hAnsi="Arial"/>
                <w:b/>
                <w:color w:val="191919"/>
                <w:sz w:val="16"/>
              </w:rPr>
            </w:pPr>
            <w:r>
              <w:rPr>
                <w:rFonts w:ascii="Arial" w:hAnsi="Arial"/>
                <w:b/>
                <w:color w:val="191919"/>
                <w:sz w:val="16"/>
              </w:rPr>
              <w:t>Average</w:t>
            </w:r>
          </w:p>
          <w:p>
            <w:pPr>
              <w:pStyle w:val="TableContents"/>
              <w:bidi w:val="0"/>
              <w:spacing w:before="0" w:after="20"/>
              <w:jc w:val="center"/>
              <w:rPr>
                <w:rFonts w:ascii="Arial" w:hAnsi="Arial"/>
                <w:b/>
                <w:color w:val="191919"/>
                <w:sz w:val="16"/>
              </w:rPr>
            </w:pPr>
            <w:r>
              <w:rPr>
                <w:rFonts w:ascii="Arial" w:hAnsi="Arial"/>
                <w:b/>
                <w:color w:val="191919"/>
                <w:sz w:val="16"/>
              </w:rPr>
              <w:t>($)</w:t>
            </w:r>
          </w:p>
        </w:tc>
        <w:tc>
          <w:tcPr>
            <w:tcW w:w="170"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6"/>
              </w:rPr>
            </w:pPr>
            <w:r>
              <w:rPr>
                <w:rFonts w:ascii="Arial" w:hAnsi="Arial"/>
                <w:color w:val="191919"/>
                <w:sz w:val="16"/>
              </w:rPr>
              <w:t>SCT 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05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7,273,615</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1,636,895</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6,330,479</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1,715,506</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0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5,963,245</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1,661,475</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05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4,276,487</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9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1,426,777</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117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17,043,097</w:t>
            </w:r>
          </w:p>
        </w:tc>
        <w:tc>
          <w:tcPr>
            <w:tcW w:w="155"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c>
          <w:tcPr>
            <w:tcW w:w="87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color w:val="191919"/>
                <w:sz w:val="16"/>
              </w:rPr>
            </w:pPr>
            <w:r>
              <w:rPr>
                <w:rFonts w:ascii="Arial" w:hAnsi="Arial"/>
                <w:color w:val="191919"/>
                <w:sz w:val="16"/>
              </w:rPr>
              <w:t>1,506,616</w:t>
            </w:r>
          </w:p>
        </w:tc>
        <w:tc>
          <w:tcPr>
            <w:tcW w:w="170" w:type="dxa"/>
            <w:tcBorders/>
            <w:vAlign w:val="center"/>
          </w:tcPr>
          <w:p>
            <w:pPr>
              <w:pStyle w:val="TableContents"/>
              <w:bidi w:val="0"/>
              <w:spacing w:before="0" w:after="0"/>
              <w:jc w:val="left"/>
              <w:rPr/>
            </w:pPr>
            <w:r>
              <w:rPr/>
              <w:t> </w:t>
            </w:r>
          </w:p>
          <w:p>
            <w:pPr>
              <w:pStyle w:val="TableContents"/>
              <w:bidi w:val="0"/>
              <w:spacing w:before="0" w:after="20"/>
              <w:jc w:val="left"/>
              <w:rPr>
                <w:color w:val="191919"/>
              </w:rPr>
            </w:pPr>
            <w:r>
              <w:rPr>
                <w:color w:val="191919"/>
              </w:rPr>
              <w:t> </w:t>
            </w:r>
          </w:p>
        </w:tc>
      </w:tr>
      <w:tr>
        <w:trPr/>
        <w:tc>
          <w:tcPr>
            <w:tcW w:w="108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6"/>
              </w:rPr>
            </w:pPr>
            <w:r>
              <w:rPr>
                <w:rFonts w:ascii="Arial" w:hAnsi="Arial"/>
                <w:color w:val="191919"/>
                <w:sz w:val="16"/>
              </w:rPr>
              <w:t>Less: Change in Actuarial Value of Pension Plan Value</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55" w:type="dxa"/>
            <w:tcBorders/>
            <w:shd w:fill="EDEDED" w:val="clear"/>
            <w:vAlign w:val="center"/>
          </w:tcPr>
          <w:p>
            <w:pPr>
              <w:pStyle w:val="TableContents"/>
              <w:bidi w:val="0"/>
              <w:spacing w:before="0" w:after="0"/>
              <w:jc w:val="right"/>
              <w:rPr>
                <w:color w:val="191919"/>
              </w:rPr>
            </w:pPr>
            <w:r>
              <w:rPr>
                <w:color w:val="191919"/>
              </w:rPr>
              <w:t>(4,042</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center"/>
              <w:rPr>
                <w:color w:val="191919"/>
              </w:rPr>
            </w:pPr>
            <w:r>
              <w:rPr>
                <w:color w:val="191919"/>
              </w:rPr>
              <w:t>—</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00" w:type="dxa"/>
            <w:tcBorders/>
            <w:shd w:fill="EDEDED" w:val="clear"/>
            <w:vAlign w:val="center"/>
          </w:tcPr>
          <w:p>
            <w:pPr>
              <w:pStyle w:val="TableContents"/>
              <w:bidi w:val="0"/>
              <w:spacing w:before="0" w:after="0"/>
              <w:jc w:val="right"/>
              <w:rPr>
                <w:color w:val="191919"/>
              </w:rPr>
            </w:pPr>
            <w:r>
              <w:rPr>
                <w:color w:val="191919"/>
              </w:rPr>
              <w:t>(5,148</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center"/>
              <w:rPr>
                <w:color w:val="191919"/>
              </w:rPr>
            </w:pPr>
            <w:r>
              <w:rPr>
                <w:color w:val="191919"/>
              </w:rPr>
              <w:t>—</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00" w:type="dxa"/>
            <w:tcBorders/>
            <w:shd w:fill="EDEDED" w:val="clear"/>
            <w:vAlign w:val="center"/>
          </w:tcPr>
          <w:p>
            <w:pPr>
              <w:pStyle w:val="TableContents"/>
              <w:bidi w:val="0"/>
              <w:spacing w:before="0" w:after="0"/>
              <w:jc w:val="right"/>
              <w:rPr>
                <w:color w:val="191919"/>
              </w:rPr>
            </w:pPr>
            <w:r>
              <w:rPr>
                <w:color w:val="191919"/>
              </w:rPr>
              <w:t>(3,022</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center"/>
              <w:rPr>
                <w:color w:val="191919"/>
              </w:rPr>
            </w:pPr>
            <w:r>
              <w:rPr>
                <w:color w:val="191919"/>
              </w:rPr>
              <w:t>—</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55" w:type="dxa"/>
            <w:tcBorders/>
            <w:shd w:fill="EDEDED" w:val="clear"/>
            <w:vAlign w:val="center"/>
          </w:tcPr>
          <w:p>
            <w:pPr>
              <w:pStyle w:val="TableContents"/>
              <w:bidi w:val="0"/>
              <w:spacing w:before="0" w:after="0"/>
              <w:jc w:val="right"/>
              <w:rPr>
                <w:color w:val="191919"/>
              </w:rPr>
            </w:pPr>
            <w:r>
              <w:rPr>
                <w:color w:val="191919"/>
              </w:rPr>
              <w:t>13,961</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center"/>
              <w:rPr>
                <w:color w:val="191919"/>
              </w:rPr>
            </w:pPr>
            <w:r>
              <w:rPr>
                <w:color w:val="191919"/>
              </w:rPr>
              <w:t>—</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75" w:type="dxa"/>
            <w:tcBorders/>
            <w:shd w:fill="EDEDED" w:val="clear"/>
            <w:vAlign w:val="center"/>
          </w:tcPr>
          <w:p>
            <w:pPr>
              <w:pStyle w:val="TableContents"/>
              <w:bidi w:val="0"/>
              <w:spacing w:before="0" w:after="0"/>
              <w:jc w:val="right"/>
              <w:rPr>
                <w:color w:val="191919"/>
              </w:rPr>
            </w:pPr>
            <w:r>
              <w:rPr>
                <w:color w:val="191919"/>
              </w:rPr>
              <w:t>6,486</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875" w:type="dxa"/>
            <w:tcBorders/>
            <w:shd w:fill="EDEDED" w:val="clear"/>
            <w:vAlign w:val="center"/>
          </w:tcPr>
          <w:p>
            <w:pPr>
              <w:pStyle w:val="TableContents"/>
              <w:bidi w:val="0"/>
              <w:spacing w:before="0" w:after="0"/>
              <w:jc w:val="center"/>
              <w:rPr>
                <w:color w:val="191919"/>
              </w:rPr>
            </w:pPr>
            <w:r>
              <w:rPr>
                <w:color w:val="191919"/>
              </w:rPr>
              <w:t>—</w:t>
            </w:r>
          </w:p>
        </w:tc>
        <w:tc>
          <w:tcPr>
            <w:tcW w:w="170" w:type="dxa"/>
            <w:tcBorders/>
            <w:shd w:fill="EDEDED" w:val="clear"/>
            <w:vAlign w:val="center"/>
          </w:tcPr>
          <w:p>
            <w:pPr>
              <w:pStyle w:val="TableContents"/>
              <w:bidi w:val="0"/>
              <w:spacing w:before="0" w:after="0"/>
              <w:jc w:val="left"/>
              <w:rPr>
                <w:color w:val="191919"/>
              </w:rPr>
            </w:pPr>
            <w:r>
              <w:rPr>
                <w:color w:val="191919"/>
              </w:rPr>
              <w:t> </w:t>
            </w:r>
          </w:p>
        </w:tc>
      </w:tr>
      <w:tr>
        <w:trPr/>
        <w:tc>
          <w:tcPr>
            <w:tcW w:w="10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6"/>
              </w:rPr>
            </w:pPr>
            <w:r>
              <w:rPr>
                <w:rFonts w:ascii="Arial" w:hAnsi="Arial"/>
                <w:color w:val="191919"/>
                <w:sz w:val="16"/>
              </w:rPr>
              <w:t>Less: GDFV of Equity Awards Reported in SCT Total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055" w:type="dxa"/>
            <w:tcBorders/>
            <w:vAlign w:val="center"/>
          </w:tcPr>
          <w:p>
            <w:pPr>
              <w:pStyle w:val="TableContents"/>
              <w:bidi w:val="0"/>
              <w:spacing w:before="0" w:after="0"/>
              <w:jc w:val="right"/>
              <w:rPr>
                <w:color w:val="191919"/>
              </w:rPr>
            </w:pPr>
            <w:r>
              <w:rPr>
                <w:color w:val="191919"/>
              </w:rPr>
              <w:t>(4,938,001</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(785,562</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100" w:type="dxa"/>
            <w:tcBorders/>
            <w:vAlign w:val="center"/>
          </w:tcPr>
          <w:p>
            <w:pPr>
              <w:pStyle w:val="TableContents"/>
              <w:bidi w:val="0"/>
              <w:spacing w:before="0" w:after="0"/>
              <w:jc w:val="right"/>
              <w:rPr>
                <w:color w:val="191919"/>
              </w:rPr>
            </w:pPr>
            <w:r>
              <w:rPr>
                <w:color w:val="191919"/>
              </w:rPr>
              <w:t>(4,221,414</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(882,670</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100" w:type="dxa"/>
            <w:tcBorders/>
            <w:vAlign w:val="center"/>
          </w:tcPr>
          <w:p>
            <w:pPr>
              <w:pStyle w:val="TableContents"/>
              <w:bidi w:val="0"/>
              <w:spacing w:before="0" w:after="0"/>
              <w:jc w:val="right"/>
              <w:rPr>
                <w:color w:val="191919"/>
              </w:rPr>
            </w:pPr>
            <w:r>
              <w:rPr>
                <w:color w:val="191919"/>
              </w:rPr>
              <w:t>(3,733,051</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(781,912</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055" w:type="dxa"/>
            <w:tcBorders/>
            <w:vAlign w:val="center"/>
          </w:tcPr>
          <w:p>
            <w:pPr>
              <w:pStyle w:val="TableContents"/>
              <w:bidi w:val="0"/>
              <w:spacing w:before="0" w:after="0"/>
              <w:jc w:val="right"/>
              <w:rPr>
                <w:color w:val="191919"/>
              </w:rPr>
            </w:pPr>
            <w:r>
              <w:rPr>
                <w:color w:val="191919"/>
              </w:rPr>
              <w:t>(2,251,035</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(661,237</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175" w:type="dxa"/>
            <w:tcBorders/>
            <w:vAlign w:val="center"/>
          </w:tcPr>
          <w:p>
            <w:pPr>
              <w:pStyle w:val="TableContents"/>
              <w:bidi w:val="0"/>
              <w:spacing w:before="0" w:after="0"/>
              <w:jc w:val="right"/>
              <w:rPr>
                <w:color w:val="191919"/>
              </w:rPr>
            </w:pPr>
            <w:r>
              <w:rPr>
                <w:color w:val="191919"/>
              </w:rPr>
              <w:t>(15,314,974</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875" w:type="dxa"/>
            <w:tcBorders/>
            <w:vAlign w:val="center"/>
          </w:tcPr>
          <w:p>
            <w:pPr>
              <w:pStyle w:val="TableContents"/>
              <w:bidi w:val="0"/>
              <w:spacing w:before="0" w:after="0"/>
              <w:jc w:val="right"/>
              <w:rPr>
                <w:color w:val="191919"/>
              </w:rPr>
            </w:pPr>
            <w:r>
              <w:rPr>
                <w:color w:val="191919"/>
              </w:rPr>
              <w:t>(726,354</w:t>
            </w:r>
          </w:p>
        </w:tc>
        <w:tc>
          <w:tcPr>
            <w:tcW w:w="170" w:type="dxa"/>
            <w:tcBorders/>
            <w:vAlign w:val="center"/>
          </w:tcPr>
          <w:p>
            <w:pPr>
              <w:pStyle w:val="TableContents"/>
              <w:bidi w:val="0"/>
              <w:spacing w:before="0" w:after="0"/>
              <w:jc w:val="left"/>
              <w:rPr>
                <w:color w:val="191919"/>
              </w:rPr>
            </w:pPr>
            <w:r>
              <w:rPr>
                <w:color w:val="191919"/>
              </w:rPr>
              <w:t>) </w:t>
            </w:r>
          </w:p>
        </w:tc>
      </w:tr>
      <w:tr>
        <w:trPr/>
        <w:tc>
          <w:tcPr>
            <w:tcW w:w="108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6"/>
              </w:rPr>
            </w:pPr>
            <w:r>
              <w:rPr>
                <w:rFonts w:ascii="Arial" w:hAnsi="Arial"/>
                <w:color w:val="191919"/>
                <w:sz w:val="16"/>
              </w:rPr>
              <w:t>Plus: Year End Fair Value of Equity Awards Granted in Covered Year</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55" w:type="dxa"/>
            <w:tcBorders/>
            <w:shd w:fill="EDEDED" w:val="clear"/>
            <w:vAlign w:val="center"/>
          </w:tcPr>
          <w:p>
            <w:pPr>
              <w:pStyle w:val="TableContents"/>
              <w:bidi w:val="0"/>
              <w:spacing w:before="0" w:after="0"/>
              <w:jc w:val="right"/>
              <w:rPr>
                <w:color w:val="191919"/>
              </w:rPr>
            </w:pPr>
            <w:r>
              <w:rPr>
                <w:color w:val="191919"/>
              </w:rPr>
              <w:t>3,959,044</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653,897</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00" w:type="dxa"/>
            <w:tcBorders/>
            <w:shd w:fill="EDEDED" w:val="clear"/>
            <w:vAlign w:val="center"/>
          </w:tcPr>
          <w:p>
            <w:pPr>
              <w:pStyle w:val="TableContents"/>
              <w:bidi w:val="0"/>
              <w:spacing w:before="0" w:after="0"/>
              <w:jc w:val="right"/>
              <w:rPr>
                <w:color w:val="191919"/>
              </w:rPr>
            </w:pPr>
            <w:r>
              <w:rPr>
                <w:color w:val="191919"/>
              </w:rPr>
              <w:t>5,145,837</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1,012,317</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00" w:type="dxa"/>
            <w:tcBorders/>
            <w:shd w:fill="EDEDED" w:val="clear"/>
            <w:vAlign w:val="center"/>
          </w:tcPr>
          <w:p>
            <w:pPr>
              <w:pStyle w:val="TableContents"/>
              <w:bidi w:val="0"/>
              <w:spacing w:before="0" w:after="0"/>
              <w:jc w:val="right"/>
              <w:rPr>
                <w:color w:val="191919"/>
              </w:rPr>
            </w:pPr>
            <w:r>
              <w:rPr>
                <w:color w:val="191919"/>
              </w:rPr>
              <w:t>6,923,908</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1,412,904</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55" w:type="dxa"/>
            <w:tcBorders/>
            <w:shd w:fill="EDEDED" w:val="clear"/>
            <w:vAlign w:val="center"/>
          </w:tcPr>
          <w:p>
            <w:pPr>
              <w:pStyle w:val="TableContents"/>
              <w:bidi w:val="0"/>
              <w:spacing w:before="0" w:after="0"/>
              <w:jc w:val="right"/>
              <w:rPr>
                <w:color w:val="191919"/>
              </w:rPr>
            </w:pPr>
            <w:r>
              <w:rPr>
                <w:color w:val="191919"/>
              </w:rPr>
              <w:t>2,982,181</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866,910</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75" w:type="dxa"/>
            <w:tcBorders/>
            <w:shd w:fill="EDEDED" w:val="clear"/>
            <w:vAlign w:val="center"/>
          </w:tcPr>
          <w:p>
            <w:pPr>
              <w:pStyle w:val="TableContents"/>
              <w:bidi w:val="0"/>
              <w:spacing w:before="0" w:after="0"/>
              <w:jc w:val="right"/>
              <w:rPr>
                <w:color w:val="191919"/>
              </w:rPr>
            </w:pPr>
            <w:r>
              <w:rPr>
                <w:color w:val="191919"/>
              </w:rPr>
              <w:t>12,266,848</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875" w:type="dxa"/>
            <w:tcBorders/>
            <w:shd w:fill="EDEDED" w:val="clear"/>
            <w:vAlign w:val="center"/>
          </w:tcPr>
          <w:p>
            <w:pPr>
              <w:pStyle w:val="TableContents"/>
              <w:bidi w:val="0"/>
              <w:spacing w:before="0" w:after="0"/>
              <w:jc w:val="right"/>
              <w:rPr>
                <w:color w:val="191919"/>
              </w:rPr>
            </w:pPr>
            <w:r>
              <w:rPr>
                <w:color w:val="191919"/>
              </w:rPr>
              <w:t>593,743</w:t>
            </w:r>
          </w:p>
        </w:tc>
        <w:tc>
          <w:tcPr>
            <w:tcW w:w="170" w:type="dxa"/>
            <w:tcBorders/>
            <w:shd w:fill="EDEDED" w:val="clear"/>
            <w:vAlign w:val="center"/>
          </w:tcPr>
          <w:p>
            <w:pPr>
              <w:pStyle w:val="TableContents"/>
              <w:bidi w:val="0"/>
              <w:spacing w:before="0" w:after="0"/>
              <w:jc w:val="left"/>
              <w:rPr>
                <w:color w:val="191919"/>
              </w:rPr>
            </w:pPr>
            <w:r>
              <w:rPr>
                <w:color w:val="191919"/>
              </w:rPr>
              <w:t> </w:t>
            </w:r>
          </w:p>
        </w:tc>
      </w:tr>
      <w:tr>
        <w:trPr/>
        <w:tc>
          <w:tcPr>
            <w:tcW w:w="10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6"/>
              </w:rPr>
            </w:pPr>
            <w:r>
              <w:rPr>
                <w:rFonts w:ascii="Arial" w:hAnsi="Arial"/>
                <w:color w:val="191919"/>
                <w:sz w:val="16"/>
              </w:rPr>
              <w:t>Change in Fair Value of Equity Awards that Vested in Covered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055" w:type="dxa"/>
            <w:tcBorders/>
            <w:vAlign w:val="center"/>
          </w:tcPr>
          <w:p>
            <w:pPr>
              <w:pStyle w:val="TableContents"/>
              <w:bidi w:val="0"/>
              <w:spacing w:before="0" w:after="0"/>
              <w:jc w:val="right"/>
              <w:rPr>
                <w:color w:val="191919"/>
              </w:rPr>
            </w:pPr>
            <w:r>
              <w:rPr>
                <w:color w:val="191919"/>
              </w:rPr>
              <w:t>(177,091</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(48,520</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100" w:type="dxa"/>
            <w:tcBorders/>
            <w:vAlign w:val="center"/>
          </w:tcPr>
          <w:p>
            <w:pPr>
              <w:pStyle w:val="TableContents"/>
              <w:bidi w:val="0"/>
              <w:spacing w:before="0" w:after="0"/>
              <w:jc w:val="right"/>
              <w:rPr>
                <w:color w:val="191919"/>
              </w:rPr>
            </w:pPr>
            <w:r>
              <w:rPr>
                <w:color w:val="191919"/>
              </w:rPr>
              <w:t>946,913</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268,780</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100" w:type="dxa"/>
            <w:tcBorders/>
            <w:vAlign w:val="center"/>
          </w:tcPr>
          <w:p>
            <w:pPr>
              <w:pStyle w:val="TableContents"/>
              <w:bidi w:val="0"/>
              <w:spacing w:before="0" w:after="0"/>
              <w:jc w:val="right"/>
              <w:rPr>
                <w:color w:val="191919"/>
              </w:rPr>
            </w:pPr>
            <w:r>
              <w:rPr>
                <w:color w:val="191919"/>
              </w:rPr>
              <w:t>322,469</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85,356</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055" w:type="dxa"/>
            <w:tcBorders/>
            <w:vAlign w:val="center"/>
          </w:tcPr>
          <w:p>
            <w:pPr>
              <w:pStyle w:val="TableContents"/>
              <w:bidi w:val="0"/>
              <w:spacing w:before="0" w:after="0"/>
              <w:jc w:val="right"/>
              <w:rPr>
                <w:color w:val="191919"/>
              </w:rPr>
            </w:pPr>
            <w:r>
              <w:rPr>
                <w:color w:val="191919"/>
              </w:rPr>
              <w:t>(65,768</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980" w:type="dxa"/>
            <w:tcBorders/>
            <w:vAlign w:val="center"/>
          </w:tcPr>
          <w:p>
            <w:pPr>
              <w:pStyle w:val="TableContents"/>
              <w:bidi w:val="0"/>
              <w:spacing w:before="0" w:after="0"/>
              <w:jc w:val="right"/>
              <w:rPr>
                <w:color w:val="191919"/>
              </w:rPr>
            </w:pPr>
            <w:r>
              <w:rPr>
                <w:color w:val="191919"/>
              </w:rPr>
              <w:t>(5,276</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1175" w:type="dxa"/>
            <w:tcBorders/>
            <w:vAlign w:val="center"/>
          </w:tcPr>
          <w:p>
            <w:pPr>
              <w:pStyle w:val="TableContents"/>
              <w:bidi w:val="0"/>
              <w:spacing w:before="0" w:after="0"/>
              <w:jc w:val="right"/>
              <w:rPr>
                <w:color w:val="191919"/>
              </w:rPr>
            </w:pPr>
            <w:r>
              <w:rPr>
                <w:color w:val="191919"/>
              </w:rPr>
              <w:t>(22,956</w:t>
            </w:r>
          </w:p>
        </w:tc>
        <w:tc>
          <w:tcPr>
            <w:tcW w:w="155" w:type="dxa"/>
            <w:tcBorders/>
            <w:vAlign w:val="center"/>
          </w:tcPr>
          <w:p>
            <w:pPr>
              <w:pStyle w:val="TableContents"/>
              <w:bidi w:val="0"/>
              <w:spacing w:before="0" w:after="0"/>
              <w:jc w:val="left"/>
              <w:rPr>
                <w:color w:val="191919"/>
              </w:rPr>
            </w:pPr>
            <w:r>
              <w:rPr>
                <w:color w:val="191919"/>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191919"/>
              </w:rPr>
            </w:pPr>
            <w:r>
              <w:rPr>
                <w:color w:val="191919"/>
              </w:rPr>
              <w:t> </w:t>
            </w:r>
          </w:p>
        </w:tc>
        <w:tc>
          <w:tcPr>
            <w:tcW w:w="875" w:type="dxa"/>
            <w:tcBorders/>
            <w:vAlign w:val="center"/>
          </w:tcPr>
          <w:p>
            <w:pPr>
              <w:pStyle w:val="TableContents"/>
              <w:bidi w:val="0"/>
              <w:spacing w:before="0" w:after="0"/>
              <w:jc w:val="right"/>
              <w:rPr>
                <w:color w:val="191919"/>
              </w:rPr>
            </w:pPr>
            <w:r>
              <w:rPr>
                <w:color w:val="191919"/>
              </w:rPr>
              <w:t>(5,535</w:t>
            </w:r>
          </w:p>
        </w:tc>
        <w:tc>
          <w:tcPr>
            <w:tcW w:w="170" w:type="dxa"/>
            <w:tcBorders/>
            <w:vAlign w:val="center"/>
          </w:tcPr>
          <w:p>
            <w:pPr>
              <w:pStyle w:val="TableContents"/>
              <w:bidi w:val="0"/>
              <w:spacing w:before="0" w:after="0"/>
              <w:jc w:val="left"/>
              <w:rPr>
                <w:color w:val="191919"/>
              </w:rPr>
            </w:pPr>
            <w:r>
              <w:rPr>
                <w:color w:val="191919"/>
              </w:rPr>
              <w:t>) </w:t>
            </w:r>
          </w:p>
        </w:tc>
      </w:tr>
      <w:tr>
        <w:trPr/>
        <w:tc>
          <w:tcPr>
            <w:tcW w:w="1085" w:type="dxa"/>
            <w:tcBorders/>
            <w:shd w:fill="EDEDED" w:val="clear"/>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6"/>
              </w:rPr>
            </w:pPr>
            <w:r>
              <w:rPr>
                <w:rFonts w:ascii="Arial" w:hAnsi="Arial"/>
                <w:color w:val="191919"/>
                <w:sz w:val="16"/>
              </w:rPr>
              <w:t>Change in Fair Value of Outstanding Unvested Equity Awards from Prior Years</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55" w:type="dxa"/>
            <w:tcBorders/>
            <w:shd w:fill="EDEDED" w:val="clear"/>
            <w:vAlign w:val="center"/>
          </w:tcPr>
          <w:p>
            <w:pPr>
              <w:pStyle w:val="TableContents"/>
              <w:bidi w:val="0"/>
              <w:spacing w:before="0" w:after="0"/>
              <w:jc w:val="right"/>
              <w:rPr>
                <w:color w:val="191919"/>
              </w:rPr>
            </w:pPr>
            <w:r>
              <w:rPr>
                <w:color w:val="191919"/>
              </w:rPr>
              <w:t>(5,070,849</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(491,056</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00" w:type="dxa"/>
            <w:tcBorders/>
            <w:shd w:fill="EDEDED" w:val="clear"/>
            <w:vAlign w:val="center"/>
          </w:tcPr>
          <w:p>
            <w:pPr>
              <w:pStyle w:val="TableContents"/>
              <w:bidi w:val="0"/>
              <w:spacing w:before="0" w:after="0"/>
              <w:jc w:val="right"/>
              <w:rPr>
                <w:color w:val="191919"/>
              </w:rPr>
            </w:pPr>
            <w:r>
              <w:rPr>
                <w:color w:val="191919"/>
              </w:rPr>
              <w:t>9,492,974</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351,722</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00" w:type="dxa"/>
            <w:tcBorders/>
            <w:shd w:fill="EDEDED" w:val="clear"/>
            <w:vAlign w:val="center"/>
          </w:tcPr>
          <w:p>
            <w:pPr>
              <w:pStyle w:val="TableContents"/>
              <w:bidi w:val="0"/>
              <w:spacing w:before="0" w:after="0"/>
              <w:jc w:val="right"/>
              <w:rPr>
                <w:color w:val="191919"/>
              </w:rPr>
            </w:pPr>
            <w:r>
              <w:rPr>
                <w:color w:val="191919"/>
              </w:rPr>
              <w:t>15,327,968</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995,941</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055" w:type="dxa"/>
            <w:tcBorders/>
            <w:shd w:fill="EDEDED" w:val="clear"/>
            <w:vAlign w:val="center"/>
          </w:tcPr>
          <w:p>
            <w:pPr>
              <w:pStyle w:val="TableContents"/>
              <w:bidi w:val="0"/>
              <w:spacing w:before="0" w:after="0"/>
              <w:jc w:val="right"/>
              <w:rPr>
                <w:color w:val="191919"/>
              </w:rPr>
            </w:pPr>
            <w:r>
              <w:rPr>
                <w:color w:val="191919"/>
              </w:rPr>
              <w:t>4,470,303</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980" w:type="dxa"/>
            <w:tcBorders/>
            <w:shd w:fill="EDEDED" w:val="clear"/>
            <w:vAlign w:val="center"/>
          </w:tcPr>
          <w:p>
            <w:pPr>
              <w:pStyle w:val="TableContents"/>
              <w:bidi w:val="0"/>
              <w:spacing w:before="0" w:after="0"/>
              <w:jc w:val="right"/>
              <w:rPr>
                <w:color w:val="191919"/>
              </w:rPr>
            </w:pPr>
            <w:r>
              <w:rPr>
                <w:color w:val="191919"/>
              </w:rPr>
              <w:t>475,088</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1175" w:type="dxa"/>
            <w:tcBorders/>
            <w:shd w:fill="EDEDED" w:val="clear"/>
            <w:vAlign w:val="center"/>
          </w:tcPr>
          <w:p>
            <w:pPr>
              <w:pStyle w:val="TableContents"/>
              <w:bidi w:val="0"/>
              <w:spacing w:before="0" w:after="0"/>
              <w:jc w:val="right"/>
              <w:rPr>
                <w:color w:val="191919"/>
              </w:rPr>
            </w:pPr>
            <w:r>
              <w:rPr>
                <w:color w:val="191919"/>
              </w:rPr>
              <w:t>(1,498,186</w:t>
            </w:r>
          </w:p>
        </w:tc>
        <w:tc>
          <w:tcPr>
            <w:tcW w:w="155" w:type="dxa"/>
            <w:tcBorders/>
            <w:shd w:fill="EDEDED" w:val="clear"/>
            <w:vAlign w:val="center"/>
          </w:tcPr>
          <w:p>
            <w:pPr>
              <w:pStyle w:val="TableContents"/>
              <w:bidi w:val="0"/>
              <w:spacing w:before="0" w:after="0"/>
              <w:jc w:val="left"/>
              <w:rPr>
                <w:color w:val="191919"/>
              </w:rPr>
            </w:pPr>
            <w:r>
              <w:rPr>
                <w:color w:val="191919"/>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191919"/>
              </w:rPr>
            </w:pPr>
            <w:r>
              <w:rPr>
                <w:color w:val="191919"/>
              </w:rPr>
              <w:t> </w:t>
            </w:r>
          </w:p>
        </w:tc>
        <w:tc>
          <w:tcPr>
            <w:tcW w:w="875" w:type="dxa"/>
            <w:tcBorders/>
            <w:shd w:fill="EDEDED" w:val="clear"/>
            <w:vAlign w:val="center"/>
          </w:tcPr>
          <w:p>
            <w:pPr>
              <w:pStyle w:val="TableContents"/>
              <w:bidi w:val="0"/>
              <w:spacing w:before="0" w:after="0"/>
              <w:jc w:val="right"/>
              <w:rPr>
                <w:color w:val="191919"/>
              </w:rPr>
            </w:pPr>
            <w:r>
              <w:rPr>
                <w:color w:val="191919"/>
              </w:rPr>
              <w:t>(422,887</w:t>
            </w:r>
          </w:p>
        </w:tc>
        <w:tc>
          <w:tcPr>
            <w:tcW w:w="170" w:type="dxa"/>
            <w:tcBorders/>
            <w:shd w:fill="EDEDED" w:val="clear"/>
            <w:vAlign w:val="center"/>
          </w:tcPr>
          <w:p>
            <w:pPr>
              <w:pStyle w:val="TableContents"/>
              <w:bidi w:val="0"/>
              <w:spacing w:before="0" w:after="0"/>
              <w:jc w:val="left"/>
              <w:rPr>
                <w:color w:val="191919"/>
              </w:rPr>
            </w:pPr>
            <w:r>
              <w:rPr>
                <w:color w:val="191919"/>
              </w:rPr>
              <w:t>) </w:t>
            </w:r>
          </w:p>
        </w:tc>
      </w:tr>
      <w:tr>
        <w:trPr/>
        <w:tc>
          <w:tcPr>
            <w:tcW w:w="1085" w:type="dxa"/>
            <w:tcBorders>
              <w:bottom w:val="single" w:sz="6" w:space="0" w:color="7DB655"/>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191919"/>
                <w:sz w:val="16"/>
              </w:rPr>
            </w:pPr>
            <w:r>
              <w:rPr>
                <w:rFonts w:ascii="Arial" w:hAnsi="Arial"/>
                <w:b/>
                <w:color w:val="191919"/>
                <w:sz w:val="16"/>
              </w:rPr>
              <w:t>Calculated CAP</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055"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1,042,676</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980"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1,096,335</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100"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17,689,641</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980"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2,644,990</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100"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24,801,517</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980"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3,501,738</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055"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9,426,129</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980"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2,102,263</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1175"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12,476,830</w:t>
            </w:r>
          </w:p>
        </w:tc>
        <w:tc>
          <w:tcPr>
            <w:tcW w:w="155"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6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c>
          <w:tcPr>
            <w:tcW w:w="875" w:type="dxa"/>
            <w:tcBorders>
              <w:bottom w:val="single" w:sz="6" w:space="0" w:color="7DB655"/>
            </w:tcBorders>
            <w:tcMar>
              <w:bottom w:w="80" w:type="dxa"/>
            </w:tcMar>
            <w:vAlign w:val="center"/>
          </w:tcPr>
          <w:p>
            <w:pPr>
              <w:pStyle w:val="TableContents"/>
              <w:bidi w:val="0"/>
              <w:spacing w:before="0" w:after="0"/>
              <w:jc w:val="right"/>
              <w:rPr>
                <w:b/>
                <w:color w:val="191919"/>
              </w:rPr>
            </w:pPr>
            <w:r>
              <w:rPr>
                <w:b/>
                <w:color w:val="191919"/>
              </w:rPr>
              <w:t>945,584</w:t>
            </w:r>
          </w:p>
        </w:tc>
        <w:tc>
          <w:tcPr>
            <w:tcW w:w="170" w:type="dxa"/>
            <w:tcBorders>
              <w:bottom w:val="single" w:sz="6" w:space="0" w:color="7DB655"/>
            </w:tcBorders>
            <w:tcMar>
              <w:bottom w:w="80" w:type="dxa"/>
            </w:tcMar>
            <w:vAlign w:val="center"/>
          </w:tcPr>
          <w:p>
            <w:pPr>
              <w:pStyle w:val="TableContents"/>
              <w:bidi w:val="0"/>
              <w:spacing w:before="0" w:after="0"/>
              <w:jc w:val="left"/>
              <w:rPr>
                <w:color w:val="191919"/>
              </w:rPr>
            </w:pPr>
            <w:r>
              <w:rPr>
                <w:color w:val="191919"/>
              </w:rPr>
              <w:t>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155"/>
        <w:gridCol w:w="5510"/>
      </w:tblGrid>
      <w:tr>
        <w:trPr/>
        <w:tc>
          <w:tcPr>
            <w:tcW w:w="155" w:type="dxa"/>
            <w:tcBorders/>
            <w:vAlign w:val="center"/>
          </w:tcPr>
          <w:p>
            <w:pPr>
              <w:pStyle w:val="TableContents"/>
              <w:bidi w:val="0"/>
              <w:spacing w:before="0" w:after="0"/>
              <w:jc w:val="left"/>
              <w:rPr>
                <w:color w:val="191919"/>
              </w:rPr>
            </w:pPr>
            <w:r>
              <w:rPr>
                <w:color w:val="191919"/>
              </w:rPr>
              <w:t> </w:t>
            </w:r>
          </w:p>
        </w:tc>
        <w:tc>
          <w:tcPr>
            <w:tcW w:w="551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above equity award values are calculated in accordance with FASB ASC Topic 718. </w:t>
            </w:r>
          </w:p>
        </w:tc>
      </w:tr>
    </w:tbl>
    <w:p>
      <w:pPr>
        <w:pStyle w:val="TextBody"/>
        <w:bidi w:val="0"/>
        <w:spacing w:before="0" w:after="0"/>
        <w:jc w:val="left"/>
        <w:rPr/>
      </w:pPr>
      <w:r>
        <w:rPr/>
        <w:t> </w:t>
      </w:r>
    </w:p>
    <w:tbl>
      <w:tblPr>
        <w:tblW w:w="3663"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520"/>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63"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30" descr=""/>
                          <pic:cNvPicPr>
                            <a:picLocks noChangeAspect="1" noChangeArrowheads="1"/>
                          </pic:cNvPicPr>
                        </pic:nvPicPr>
                        <pic:blipFill>
                          <a:blip r:embed="rId33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0"/>
              <w:jc w:val="center"/>
              <w:rPr/>
            </w:pPr>
            <w:r>
              <w:rPr/>
              <w:t> </w:t>
            </w:r>
          </w:p>
          <w:p>
            <w:pPr>
              <w:pStyle w:val="TableContents"/>
              <w:bidi w:val="0"/>
              <w:spacing w:before="0" w:after="20"/>
              <w:jc w:val="center"/>
              <w:rPr>
                <w:rFonts w:ascii="Arial" w:hAnsi="Arial"/>
                <w:color w:val="7DB655"/>
                <w:sz w:val="14"/>
              </w:rPr>
            </w:pPr>
            <w:r>
              <w:rPr>
                <w:rFonts w:ascii="Arial" w:hAnsi="Arial"/>
                <w:color w:val="7DB655"/>
                <w:sz w:val="14"/>
              </w:rPr>
              <w:t>|</w:t>
            </w:r>
          </w:p>
          <w:p>
            <w:pPr>
              <w:pStyle w:val="TableContents"/>
              <w:bidi w:val="0"/>
              <w:spacing w:before="0" w:after="20"/>
              <w:jc w:val="center"/>
              <w:rPr/>
            </w:pPr>
            <w:r>
              <w:rPr/>
              <w:t> </w:t>
            </w:r>
            <w:r>
              <w:rPr>
                <w:rFonts w:ascii="Arial" w:hAnsi="Arial"/>
                <w:sz w:val="14"/>
              </w:rPr>
              <w:t>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rPr>
            </w:pPr>
            <w:r>
              <w:rPr>
                <w:b/>
              </w:rPr>
              <w:t>67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Executive Compensation </w:t>
      </w:r>
    </w:p>
    <w:p>
      <w:pPr>
        <w:pStyle w:val="TextBody"/>
        <w:bidi w:val="0"/>
        <w:spacing w:before="0" w:after="0"/>
        <w:jc w:val="left"/>
        <w:rPr>
          <w:rFonts w:ascii="Arial" w:hAnsi="Arial"/>
          <w:sz w:val="16"/>
        </w:rPr>
      </w:pPr>
      <w:r>
        <w:rPr>
          <w:rFonts w:ascii="Arial" w:hAnsi="Arial"/>
          <w:sz w:val="16"/>
        </w:rPr>
        <w:t xml:space="preserve">Pay Versus Performance Disclosure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0"/>
              <w:jc w:val="left"/>
              <w:rPr>
                <w:i/>
                <w:color w:val="191919"/>
              </w:rPr>
            </w:pPr>
            <w:r>
              <w:rPr>
                <w:i/>
                <w:color w:val="191919"/>
              </w:rPr>
              <w:t>(3)</w:t>
            </w:r>
          </w:p>
        </w:tc>
        <w:tc>
          <w:tcPr>
            <w:tcW w:w="991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The Peer Group TSR set forth in this table utilizes the S&amp;P SmallCap 600 Industrial Index, which we also utilize in the stock performance graph required by Item 201(e) of Regulation </w:t>
            </w:r>
          </w:p>
          <w:p>
            <w:pPr>
              <w:pStyle w:val="TableContents"/>
              <w:bidi w:val="0"/>
              <w:spacing w:before="0" w:after="0"/>
              <w:jc w:val="left"/>
              <w:rPr>
                <w:rFonts w:ascii="Arial" w:hAnsi="Arial"/>
                <w:i/>
                <w:color w:val="191919"/>
                <w:sz w:val="14"/>
              </w:rPr>
            </w:pPr>
            <w:r>
              <w:rPr>
                <w:rFonts w:ascii="Arial" w:hAnsi="Arial"/>
                <w:i/>
                <w:color w:val="191919"/>
                <w:sz w:val="14"/>
              </w:rPr>
              <w:t>S-K</w:t>
            </w:r>
          </w:p>
          <w:p>
            <w:pPr>
              <w:pStyle w:val="TableContents"/>
              <w:bidi w:val="0"/>
              <w:spacing w:before="0" w:after="0"/>
              <w:jc w:val="left"/>
              <w:rPr>
                <w:rFonts w:ascii="Arial" w:hAnsi="Arial"/>
                <w:i/>
                <w:color w:val="191919"/>
                <w:sz w:val="14"/>
              </w:rPr>
            </w:pPr>
            <w:r>
              <w:rPr>
                <w:rFonts w:ascii="Arial" w:hAnsi="Arial"/>
                <w:i/>
                <w:color w:val="191919"/>
                <w:sz w:val="14"/>
              </w:rPr>
              <w:t xml:space="preserve">included in our Annual Report. The comparison assumes $100 was invested for the period starting April 1, 2021, through March 31 of the listed year in each of the Company and in the index,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i/>
                <w:color w:val="191919"/>
              </w:rPr>
            </w:pPr>
            <w:r>
              <w:rPr>
                <w:i/>
                <w:color w:val="191919"/>
              </w:rPr>
              <w:t>(4)</w:t>
            </w:r>
          </w:p>
        </w:tc>
        <w:tc>
          <w:tcPr>
            <w:tcW w:w="9952"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We determined EBITDA to be the most important financial performance measure used to link Company performance to the calculated CAPs of our PEO and </w:t>
            </w:r>
          </w:p>
          <w:p>
            <w:pPr>
              <w:pStyle w:val="TableContents"/>
              <w:bidi w:val="0"/>
              <w:spacing w:before="0" w:after="0"/>
              <w:jc w:val="left"/>
              <w:rPr>
                <w:rFonts w:ascii="Arial" w:hAnsi="Arial"/>
                <w:i/>
                <w:color w:val="191919"/>
                <w:sz w:val="14"/>
              </w:rPr>
            </w:pPr>
            <w:r>
              <w:rPr>
                <w:rFonts w:ascii="Arial" w:hAnsi="Arial"/>
                <w:i/>
                <w:color w:val="191919"/>
                <w:sz w:val="14"/>
              </w:rPr>
              <w:t>Non-PEO</w:t>
            </w:r>
          </w:p>
          <w:p>
            <w:pPr>
              <w:pStyle w:val="TableContents"/>
              <w:bidi w:val="0"/>
              <w:spacing w:before="0" w:after="0"/>
              <w:jc w:val="left"/>
              <w:rPr>
                <w:rFonts w:ascii="Arial" w:hAnsi="Arial"/>
                <w:i/>
                <w:color w:val="191919"/>
                <w:sz w:val="14"/>
              </w:rPr>
            </w:pPr>
            <w:r>
              <w:rPr>
                <w:rFonts w:ascii="Arial" w:hAnsi="Arial"/>
                <w:i/>
                <w:color w:val="191919"/>
                <w:sz w:val="14"/>
              </w:rPr>
              <w:t xml:space="preserve">NEOs in fiscal 2026. This performance measure may not have been the most important financial performance measure for fiscal years 2022, 2023, 2024 and 2025, and we may determine a different financial performance measure to be the most important financial performance measure in future years. EBITDA is defined for purposes of the AIP as set forth above in the “Compensation Discussion and Analysis” section. See Exhibit A for GAAP reconciliation information. </w:t>
            </w:r>
          </w:p>
        </w:tc>
      </w:tr>
    </w:tbl>
    <w:p>
      <w:pPr>
        <w:pStyle w:val="TextBody"/>
        <w:bidi w:val="0"/>
        <w:spacing w:before="360" w:after="0"/>
        <w:jc w:val="left"/>
        <w:rPr>
          <w:rFonts w:ascii="Arial" w:hAnsi="Arial"/>
          <w:b/>
          <w:color w:val="191919"/>
          <w:sz w:val="26"/>
        </w:rPr>
      </w:pPr>
      <w:r>
        <w:rPr>
          <w:rFonts w:ascii="Arial" w:hAnsi="Arial"/>
          <w:b/>
          <w:color w:val="191919"/>
          <w:sz w:val="26"/>
        </w:rPr>
        <w:t xml:space="preserve">Description of Relationship Between PEO and </w:t>
      </w:r>
    </w:p>
    <w:p>
      <w:pPr>
        <w:pStyle w:val="TextBody"/>
        <w:bidi w:val="0"/>
        <w:spacing w:before="360" w:after="0"/>
        <w:jc w:val="left"/>
        <w:rPr>
          <w:rFonts w:ascii="Arial" w:hAnsi="Arial"/>
          <w:b/>
          <w:color w:val="191919"/>
          <w:sz w:val="26"/>
        </w:rPr>
      </w:pPr>
      <w:r>
        <w:rPr>
          <w:rFonts w:ascii="Arial" w:hAnsi="Arial"/>
          <w:b/>
          <w:color w:val="191919"/>
          <w:sz w:val="26"/>
        </w:rPr>
        <w:t>Non-PEO</w:t>
      </w:r>
    </w:p>
    <w:p>
      <w:pPr>
        <w:pStyle w:val="TextBody"/>
        <w:bidi w:val="0"/>
        <w:spacing w:before="360" w:after="0"/>
        <w:jc w:val="left"/>
        <w:rPr>
          <w:rFonts w:ascii="Arial" w:hAnsi="Arial"/>
          <w:b/>
          <w:color w:val="191919"/>
          <w:sz w:val="26"/>
        </w:rPr>
      </w:pPr>
      <w:r>
        <w:rPr>
          <w:rFonts w:ascii="Arial" w:hAnsi="Arial"/>
          <w:b/>
          <w:color w:val="191919"/>
          <w:sz w:val="26"/>
        </w:rPr>
        <w:t xml:space="preserve">NEO Compensation Actually Paid and Company Performance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3175000" cy="2871470"/>
                <wp:effectExtent l="0" t="0" r="0" b="0"/>
                <wp:wrapSquare wrapText="right"/>
                <wp:docPr id="364" name="Frame32"/>
                <a:graphic xmlns:a="http://schemas.openxmlformats.org/drawingml/2006/main">
                  <a:graphicData uri="http://schemas.microsoft.com/office/word/2010/wordprocessingShape">
                    <wps:wsp>
                      <wps:cNvSpPr txBox="1"/>
                      <wps:spPr>
                        <a:xfrm>
                          <a:off x="0" y="0"/>
                          <a:ext cx="3175000" cy="287147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sets forth the relationship between the calculated CAP of our PEO, the average CAP of our other NEOs, and the Company’s EBITDA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962150"/>
                                  <wp:effectExtent l="0" t="0" r="0" b="0"/>
                                  <wp:docPr id="365"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32" descr=""/>
                                          <pic:cNvPicPr>
                                            <a:picLocks noChangeAspect="1" noChangeArrowheads="1"/>
                                          </pic:cNvPicPr>
                                        </pic:nvPicPr>
                                        <pic:blipFill>
                                          <a:blip r:embed="rId335"/>
                                          <a:stretch>
                                            <a:fillRect/>
                                          </a:stretch>
                                        </pic:blipFill>
                                        <pic:spPr bwMode="auto">
                                          <a:xfrm>
                                            <a:off x="0" y="0"/>
                                            <a:ext cx="3619500" cy="196215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26.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sets forth the relationship between the calculated CAP of our PEO, the average CAP of our other NEOs, and the Company’s EBITDA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962150"/>
                            <wp:effectExtent l="0" t="0" r="0" b="0"/>
                            <wp:docPr id="366"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32" descr=""/>
                                    <pic:cNvPicPr>
                                      <a:picLocks noChangeAspect="1" noChangeArrowheads="1"/>
                                    </pic:cNvPicPr>
                                  </pic:nvPicPr>
                                  <pic:blipFill>
                                    <a:blip r:embed="rId336"/>
                                    <a:stretch>
                                      <a:fillRect/>
                                    </a:stretch>
                                  </pic:blipFill>
                                  <pic:spPr bwMode="auto">
                                    <a:xfrm>
                                      <a:off x="0" y="0"/>
                                      <a:ext cx="3619500" cy="19621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3110230" cy="2766695"/>
                <wp:effectExtent l="0" t="0" r="0" b="0"/>
                <wp:wrapSquare wrapText="right"/>
                <wp:docPr id="367" name="Frame31"/>
                <a:graphic xmlns:a="http://schemas.openxmlformats.org/drawingml/2006/main">
                  <a:graphicData uri="http://schemas.microsoft.com/office/word/2010/wordprocessingShape">
                    <wps:wsp>
                      <wps:cNvSpPr txBox="1"/>
                      <wps:spPr>
                        <a:xfrm>
                          <a:off x="0" y="0"/>
                          <a:ext cx="3110230" cy="2766695"/>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sets forth the relationship between the CAP calculation of our PEO, the average CAP of our other NEOs, and the Company’s cumulative TSR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857375"/>
                                  <wp:effectExtent l="0" t="0" r="0" b="0"/>
                                  <wp:docPr id="368"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31" descr=""/>
                                          <pic:cNvPicPr>
                                            <a:picLocks noChangeAspect="1" noChangeArrowheads="1"/>
                                          </pic:cNvPicPr>
                                        </pic:nvPicPr>
                                        <pic:blipFill>
                                          <a:blip r:embed="rId337"/>
                                          <a:stretch>
                                            <a:fillRect/>
                                          </a:stretch>
                                        </pic:blipFill>
                                        <pic:spPr bwMode="auto">
                                          <a:xfrm>
                                            <a:off x="0" y="0"/>
                                            <a:ext cx="3619500" cy="185737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7.8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sets forth the relationship between the CAP calculation of our PEO, the average CAP of our other NEOs, and the Company’s cumulative TSR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857375"/>
                            <wp:effectExtent l="0" t="0" r="0" b="0"/>
                            <wp:docPr id="369"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31" descr=""/>
                                    <pic:cNvPicPr>
                                      <a:picLocks noChangeAspect="1" noChangeArrowheads="1"/>
                                    </pic:cNvPicPr>
                                  </pic:nvPicPr>
                                  <pic:blipFill>
                                    <a:blip r:embed="rId338"/>
                                    <a:stretch>
                                      <a:fillRect/>
                                    </a:stretch>
                                  </pic:blipFill>
                                  <pic:spPr bwMode="auto">
                                    <a:xfrm>
                                      <a:off x="0" y="0"/>
                                      <a:ext cx="3619500" cy="185737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3175000" cy="3397250"/>
                <wp:effectExtent l="0" t="0" r="0" b="0"/>
                <wp:wrapSquare wrapText="right"/>
                <wp:docPr id="370" name="Frame34"/>
                <a:graphic xmlns:a="http://schemas.openxmlformats.org/drawingml/2006/main">
                  <a:graphicData uri="http://schemas.microsoft.com/office/word/2010/wordprocessingShape">
                    <wps:wsp>
                      <wps:cNvSpPr txBox="1"/>
                      <wps:spPr>
                        <a:xfrm>
                          <a:off x="0" y="0"/>
                          <a:ext cx="3175000" cy="339725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compares the Company’s TSR over the last five completed fiscal years to that of the Peer Group over the same period.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2619375"/>
                                  <wp:effectExtent l="0" t="0" r="0" b="0"/>
                                  <wp:docPr id="371"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34" descr=""/>
                                          <pic:cNvPicPr>
                                            <a:picLocks noChangeAspect="1" noChangeArrowheads="1"/>
                                          </pic:cNvPicPr>
                                        </pic:nvPicPr>
                                        <pic:blipFill>
                                          <a:blip r:embed="rId339"/>
                                          <a:stretch>
                                            <a:fillRect/>
                                          </a:stretch>
                                        </pic:blipFill>
                                        <pic:spPr bwMode="auto">
                                          <a:xfrm>
                                            <a:off x="0" y="0"/>
                                            <a:ext cx="3619500" cy="261937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compares the Company’s TSR over the last five completed fiscal years to that of the Peer Group over the same period.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2619375"/>
                            <wp:effectExtent l="0" t="0" r="0" b="0"/>
                            <wp:docPr id="372"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34" descr=""/>
                                    <pic:cNvPicPr>
                                      <a:picLocks noChangeAspect="1" noChangeArrowheads="1"/>
                                    </pic:cNvPicPr>
                                  </pic:nvPicPr>
                                  <pic:blipFill>
                                    <a:blip r:embed="rId340"/>
                                    <a:stretch>
                                      <a:fillRect/>
                                    </a:stretch>
                                  </pic:blipFill>
                                  <pic:spPr bwMode="auto">
                                    <a:xfrm>
                                      <a:off x="0" y="0"/>
                                      <a:ext cx="3619500" cy="26193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3110230" cy="2871470"/>
                <wp:effectExtent l="0" t="0" r="0" b="0"/>
                <wp:wrapSquare wrapText="right"/>
                <wp:docPr id="373" name="Frame33"/>
                <a:graphic xmlns:a="http://schemas.openxmlformats.org/drawingml/2006/main">
                  <a:graphicData uri="http://schemas.microsoft.com/office/word/2010/wordprocessingShape">
                    <wps:wsp>
                      <wps:cNvSpPr txBox="1"/>
                      <wps:spPr>
                        <a:xfrm>
                          <a:off x="0" y="0"/>
                          <a:ext cx="3110230" cy="2871470"/>
                        </a:xfrm>
                        <a:prstGeom prst="rect"/>
                        <a:solidFill>
                          <a:srgbClr val="FFFFFF"/>
                        </a:solidFill>
                      </wps:spPr>
                      <wps:txbx>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sets forth the relationship between the calculated CAP of our PEO, the average CAP of our other NEOs, and the Company’s Net Income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962150"/>
                                  <wp:effectExtent l="0" t="0" r="0" b="0"/>
                                  <wp:docPr id="374"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33" descr=""/>
                                          <pic:cNvPicPr>
                                            <a:picLocks noChangeAspect="1" noChangeArrowheads="1"/>
                                          </pic:cNvPicPr>
                                        </pic:nvPicPr>
                                        <pic:blipFill>
                                          <a:blip r:embed="rId341"/>
                                          <a:stretch>
                                            <a:fillRect/>
                                          </a:stretch>
                                        </pic:blipFill>
                                        <pic:spPr bwMode="auto">
                                          <a:xfrm>
                                            <a:off x="0" y="0"/>
                                            <a:ext cx="3619500" cy="196215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6.1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color w:val="191919"/>
                          <w:sz w:val="18"/>
                        </w:rPr>
                      </w:pPr>
                      <w:r>
                        <w:rPr>
                          <w:rFonts w:ascii="Arial" w:hAnsi="Arial"/>
                          <w:color w:val="191919"/>
                          <w:sz w:val="18"/>
                        </w:rPr>
                        <w:t xml:space="preserve">The following chart sets forth the relationship between the calculated CAP of our PEO, the average CAP of our other NEOs, and the Company’s Net Income over the five most recently completed fiscal years.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19500" cy="1962150"/>
                            <wp:effectExtent l="0" t="0" r="0" b="0"/>
                            <wp:docPr id="375"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33" descr=""/>
                                    <pic:cNvPicPr>
                                      <a:picLocks noChangeAspect="1" noChangeArrowheads="1"/>
                                    </pic:cNvPicPr>
                                  </pic:nvPicPr>
                                  <pic:blipFill>
                                    <a:blip r:embed="rId342"/>
                                    <a:stretch>
                                      <a:fillRect/>
                                    </a:stretch>
                                  </pic:blipFill>
                                  <pic:spPr bwMode="auto">
                                    <a:xfrm>
                                      <a:off x="0" y="0"/>
                                      <a:ext cx="3619500" cy="196215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rFonts w:ascii="Arial" w:hAnsi="Arial"/>
          <w:color w:val="191919"/>
          <w:sz w:val="18"/>
        </w:rPr>
      </w:pPr>
      <w:r>
        <w:rPr>
          <w:rFonts w:ascii="Arial" w:hAnsi="Arial"/>
          <w:color w:val="191919"/>
          <w:sz w:val="18"/>
        </w:rPr>
        <w:t xml:space="preserve">The following table presents the financial performance measures that the Company considers to have been the most important in linking the CAP of our PEO and other NEOs for fiscal 2026 to Company performance. The CAP calculation is heavily influenced by the year-over-year change in values of unvested equity awards, and equity awards constitute the majority of our NEO’s compensation. As such, TSR performance has an outsized effect on CAP figures when compared to SCT totals. </w:t>
      </w:r>
    </w:p>
    <w:p>
      <w:pPr>
        <w:pStyle w:val="TextBody"/>
        <w:bidi w:val="0"/>
        <w:spacing w:before="0" w:after="0"/>
        <w:jc w:val="left"/>
        <w:rPr/>
      </w:pPr>
      <w:r>
        <w:rPr/>
        <w:t> </w:t>
      </w:r>
    </w:p>
    <w:tbl>
      <w:tblPr>
        <w:tblW w:w="2060" w:type="dxa"/>
        <w:jc w:val="left"/>
        <w:tblInd w:w="0" w:type="dxa"/>
        <w:tblLayout w:type="fixed"/>
        <w:tblCellMar>
          <w:top w:w="0" w:type="dxa"/>
          <w:left w:w="0" w:type="dxa"/>
          <w:bottom w:w="0" w:type="dxa"/>
          <w:right w:w="0" w:type="dxa"/>
        </w:tblCellMar>
      </w:tblPr>
      <w:tblGrid>
        <w:gridCol w:w="2060"/>
      </w:tblGrid>
      <w:tr>
        <w:trPr/>
        <w:tc>
          <w:tcPr>
            <w:tcW w:w="2060" w:type="dxa"/>
            <w:tcBorders/>
            <w:vAlign w:val="center"/>
          </w:tcPr>
          <w:p>
            <w:pPr>
              <w:pStyle w:val="TableContents"/>
              <w:bidi w:val="0"/>
              <w:spacing w:before="0" w:after="283"/>
              <w:jc w:val="left"/>
              <w:rPr>
                <w:sz w:val="4"/>
                <w:szCs w:val="4"/>
              </w:rPr>
            </w:pPr>
            <w:r>
              <w:rPr>
                <w:sz w:val="4"/>
                <w:szCs w:val="4"/>
              </w:rPr>
            </w:r>
          </w:p>
        </w:tc>
      </w:tr>
      <w:tr>
        <w:trPr/>
        <w:tc>
          <w:tcPr>
            <w:tcW w:w="2060" w:type="dxa"/>
            <w:tcBorders>
              <w:top w:val="single" w:sz="56" w:space="0" w:color="7DB655"/>
            </w:tcBorders>
            <w:tcMar>
              <w:top w:w="28" w:type="dxa"/>
            </w:tcMar>
            <w:vAlign w:val="center"/>
          </w:tcPr>
          <w:p>
            <w:pPr>
              <w:pStyle w:val="TableContents"/>
              <w:bidi w:val="0"/>
              <w:spacing w:lineRule="atLeast" w:line="220" w:before="0" w:after="20"/>
              <w:jc w:val="left"/>
              <w:rPr>
                <w:rFonts w:ascii="Arial" w:hAnsi="Arial"/>
                <w:color w:val="191919"/>
                <w:sz w:val="17"/>
              </w:rPr>
            </w:pPr>
            <w:r>
              <w:rPr>
                <w:rFonts w:ascii="Arial" w:hAnsi="Arial"/>
                <w:color w:val="191919"/>
                <w:sz w:val="17"/>
              </w:rPr>
              <w:t>TSR</w:t>
            </w:r>
          </w:p>
        </w:tc>
      </w:tr>
      <w:tr>
        <w:trPr/>
        <w:tc>
          <w:tcPr>
            <w:tcW w:w="2060" w:type="dxa"/>
            <w:tcBorders/>
            <w:shd w:fill="EDEDED" w:val="clear"/>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EBITDA</w:t>
            </w:r>
          </w:p>
        </w:tc>
      </w:tr>
      <w:tr>
        <w:trPr/>
        <w:tc>
          <w:tcPr>
            <w:tcW w:w="2060" w:type="dxa"/>
            <w:tcBorders>
              <w:bottom w:val="single" w:sz="6" w:space="0" w:color="7DB655"/>
            </w:tcBorders>
            <w:tcMar>
              <w:bottom w:w="28" w:type="dxa"/>
            </w:tcMar>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Cash Flow from Operations</w:t>
            </w:r>
          </w:p>
        </w:tc>
      </w:tr>
    </w:tbl>
    <w:p>
      <w:pPr>
        <w:pStyle w:val="TextBody"/>
        <w:bidi w:val="0"/>
        <w:spacing w:before="0" w:after="0"/>
        <w:jc w:val="left"/>
        <w:rPr/>
      </w:pPr>
      <w:r>
        <w:rPr/>
        <w:t> </w:t>
      </w:r>
    </w:p>
    <w:p>
      <w:pPr>
        <w:pStyle w:val="TextBody"/>
        <w:bidi w:val="0"/>
        <w:spacing w:before="0" w:after="0"/>
        <w:jc w:val="left"/>
        <w:rPr/>
      </w:pPr>
      <w:r>
        <w:rPr/>
        <w:t> </w:t>
      </w:r>
    </w:p>
    <w:tbl>
      <w:tblPr>
        <w:tblW w:w="3753"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520"/>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right"/>
              <w:rPr>
                <w:sz w:val="20"/>
              </w:rPr>
            </w:pPr>
            <w:r>
              <w:rPr>
                <w:sz w:val="20"/>
              </w:rPr>
              <w:t>68</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76"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35" descr=""/>
                          <pic:cNvPicPr>
                            <a:picLocks noChangeAspect="1" noChangeArrowheads="1"/>
                          </pic:cNvPicPr>
                        </pic:nvPicPr>
                        <pic:blipFill>
                          <a:blip r:embed="rId34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0"/>
              <w:jc w:val="left"/>
              <w:rPr>
                <w:color w:val="7DB655"/>
              </w:rPr>
            </w:pPr>
            <w:r>
              <w:rPr>
                <w:color w:val="7DB655"/>
              </w:rPr>
              <w:t> </w:t>
            </w:r>
            <w:r>
              <w:rPr>
                <w:rFonts w:ascii="Arial" w:hAnsi="Arial"/>
                <w:color w:val="7DB655"/>
                <w:sz w:val="14"/>
              </w:rPr>
              <w:t>|</w:t>
            </w:r>
          </w:p>
          <w:p>
            <w:pPr>
              <w:pStyle w:val="TableContents"/>
              <w:bidi w:val="0"/>
              <w:spacing w:before="0" w:after="20"/>
              <w:jc w:val="left"/>
              <w:rPr/>
            </w:pPr>
            <w:r>
              <w:rPr/>
              <w:t> </w:t>
            </w:r>
            <w:r>
              <w:rPr>
                <w:rFonts w:ascii="Arial" w:hAnsi="Arial"/>
                <w:sz w:val="14"/>
              </w:rPr>
              <w:t>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color w:val="7DB655"/>
        </w:rPr>
      </w:pPr>
      <w:r>
        <w:rPr>
          <w:color w:val="7DB655"/>
        </w:rPr>
        <w:t xml:space="preserve">  </w:t>
      </w:r>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52" w:name="toc36145_28"/>
      <w:bookmarkEnd w:id="52"/>
      <w:r>
        <w:rPr>
          <w:rFonts w:ascii="Arial" w:hAnsi="Arial"/>
          <w:b/>
          <w:color w:val="0A7DAC"/>
          <w:sz w:val="40"/>
        </w:rPr>
        <w:t xml:space="preserve">Equity Compensation Plan Information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provides certain information related to our 2024 Equity and Incentive Compensation Plan as of March 31, 2026 under which our equity securities are authorized for issuance. </w:t>
      </w:r>
    </w:p>
    <w:p>
      <w:pPr>
        <w:pStyle w:val="TextBody"/>
        <w:bidi w:val="0"/>
        <w:spacing w:before="0" w:after="0"/>
        <w:jc w:val="left"/>
        <w:rPr/>
      </w:pPr>
      <w:r>
        <w:rPr/>
        <w:t> </w:t>
      </w:r>
    </w:p>
    <w:tbl>
      <w:tblPr>
        <w:tblW w:w="9170" w:type="dxa"/>
        <w:jc w:val="left"/>
        <w:tblInd w:w="0" w:type="dxa"/>
        <w:tblLayout w:type="fixed"/>
        <w:tblCellMar>
          <w:top w:w="0" w:type="dxa"/>
          <w:left w:w="0" w:type="dxa"/>
          <w:bottom w:w="0" w:type="dxa"/>
          <w:right w:w="0" w:type="dxa"/>
        </w:tblCellMar>
      </w:tblPr>
      <w:tblGrid>
        <w:gridCol w:w="4550"/>
        <w:gridCol w:w="60"/>
        <w:gridCol w:w="1535"/>
        <w:gridCol w:w="120"/>
        <w:gridCol w:w="1280"/>
        <w:gridCol w:w="120"/>
        <w:gridCol w:w="1505"/>
      </w:tblGrid>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Plan Category</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3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Number</w:t>
              <w:br/>
              <w:t>of Securities</w:t>
              <w:br/>
              <w:t>to Be Issued</w:t>
              <w:br/>
              <w:t>Upon Exercise</w:t>
              <w:br/>
              <w:t>of Outstanding</w:t>
              <w:br/>
              <w:t>Options,</w:t>
              <w:br/>
              <w:t>Warrants and</w:t>
              <w:br/>
              <w:t>Rights</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80"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Weighted-</w:t>
              <w:br/>
              <w:t>Average</w:t>
              <w:br/>
              <w:t>Exercise</w:t>
              <w:br/>
              <w:t>Price of</w:t>
              <w:br/>
              <w:t>Outstanding</w:t>
              <w:br/>
              <w:t>Options,</w:t>
              <w:br/>
              <w:t>Warrants</w:t>
              <w:br/>
              <w:t>and Rights</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Number of</w:t>
              <w:br/>
              <w:t>Securities</w:t>
              <w:br/>
              <w:t>Remaining</w:t>
              <w:br/>
              <w:t>Available</w:t>
              <w:br/>
              <w:t>for Future</w:t>
              <w:br/>
              <w:t>Issuance</w:t>
              <w:br/>
              <w:t>Under Equity</w:t>
              <w:br/>
              <w:t>Compensation</w:t>
              <w:br/>
              <w:t>Plans</w:t>
              <w:br/>
              <w:t>(Excluding</w:t>
              <w:br/>
              <w:t>Securities</w:t>
              <w:br/>
              <w:t>Reflected</w:t>
              <w:br/>
              <w:t>in the First</w:t>
              <w:br/>
              <w:t>Column)</w:t>
            </w:r>
          </w:p>
        </w:tc>
      </w:tr>
      <w:tr>
        <w:trPr/>
        <w:tc>
          <w:tcPr>
            <w:tcW w:w="455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191919"/>
                <w:sz w:val="17"/>
              </w:rPr>
            </w:pPr>
            <w:r>
              <w:rPr>
                <w:rFonts w:ascii="Arial" w:hAnsi="Arial"/>
                <w:color w:val="191919"/>
                <w:sz w:val="17"/>
              </w:rPr>
              <w:t>Equity compensation plans approved by securities holders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w:t>
            </w:r>
          </w:p>
        </w:tc>
        <w:tc>
          <w:tcPr>
            <w:tcW w:w="12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left"/>
              <w:rPr/>
            </w:pPr>
            <w:r>
              <w:rPr/>
              <w:t> </w:t>
            </w:r>
          </w:p>
          <w:p>
            <w:pPr>
              <w:pStyle w:val="TableContents"/>
              <w:bidi w:val="0"/>
              <w:spacing w:before="0" w:after="20"/>
              <w:jc w:val="center"/>
              <w:rPr>
                <w:color w:val="191919"/>
              </w:rPr>
            </w:pPr>
            <w:r>
              <w:rPr>
                <w:color w:val="191919"/>
              </w:rPr>
              <w:t>—</w:t>
            </w:r>
          </w:p>
        </w:tc>
        <w:tc>
          <w:tcPr>
            <w:tcW w:w="12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color w:val="191919"/>
                <w:sz w:val="16"/>
              </w:rPr>
            </w:pPr>
            <w:r>
              <w:rPr>
                <w:rFonts w:ascii="Arial" w:hAnsi="Arial"/>
                <w:color w:val="191919"/>
                <w:sz w:val="16"/>
              </w:rPr>
              <w:t>784,584</w:t>
            </w:r>
          </w:p>
        </w:tc>
      </w:tr>
      <w:tr>
        <w:trPr/>
        <w:tc>
          <w:tcPr>
            <w:tcW w:w="4550" w:type="dxa"/>
            <w:tcBorders/>
            <w:shd w:fill="EDEDED" w:val="clear"/>
            <w:vAlign w:val="center"/>
          </w:tcPr>
          <w:p>
            <w:pPr>
              <w:pStyle w:val="TableContents"/>
              <w:bidi w:val="0"/>
              <w:spacing w:before="0" w:after="283"/>
              <w:jc w:val="left"/>
              <w:rPr>
                <w:sz w:val="4"/>
                <w:szCs w:val="4"/>
              </w:rPr>
            </w:pPr>
            <w:r>
              <w:rPr>
                <w:sz w:val="4"/>
                <w:szCs w:val="4"/>
              </w:rPr>
            </w:r>
          </w:p>
        </w:tc>
        <w:tc>
          <w:tcPr>
            <w:tcW w:w="1595" w:type="dxa"/>
            <w:gridSpan w:val="2"/>
            <w:tcBorders/>
            <w:shd w:fill="EDEDED" w:val="clear"/>
            <w:vAlign w:val="center"/>
          </w:tcPr>
          <w:p>
            <w:pPr>
              <w:pStyle w:val="TableContents"/>
              <w:bidi w:val="0"/>
              <w:spacing w:before="0" w:after="283"/>
              <w:jc w:val="left"/>
              <w:rPr>
                <w:sz w:val="4"/>
                <w:szCs w:val="4"/>
              </w:rPr>
            </w:pPr>
            <w:r>
              <w:rPr>
                <w:sz w:val="4"/>
                <w:szCs w:val="4"/>
              </w:rPr>
            </w:r>
          </w:p>
        </w:tc>
        <w:tc>
          <w:tcPr>
            <w:tcW w:w="1400" w:type="dxa"/>
            <w:gridSpan w:val="2"/>
            <w:tcBorders/>
            <w:shd w:fill="EDEDED" w:val="clear"/>
            <w:vAlign w:val="center"/>
          </w:tcPr>
          <w:p>
            <w:pPr>
              <w:pStyle w:val="TableContents"/>
              <w:bidi w:val="0"/>
              <w:spacing w:before="0" w:after="283"/>
              <w:jc w:val="left"/>
              <w:rPr>
                <w:sz w:val="4"/>
                <w:szCs w:val="4"/>
              </w:rPr>
            </w:pPr>
            <w:r>
              <w:rPr>
                <w:sz w:val="4"/>
                <w:szCs w:val="4"/>
              </w:rPr>
            </w:r>
          </w:p>
        </w:tc>
        <w:tc>
          <w:tcPr>
            <w:tcW w:w="162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550"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Equity compensation plans not approved by securities holders</w:t>
            </w:r>
          </w:p>
        </w:tc>
        <w:tc>
          <w:tcPr>
            <w:tcW w:w="60" w:type="dxa"/>
            <w:tcBorders/>
            <w:shd w:fill="EDEDED" w:val="clear"/>
            <w:vAlign w:val="center"/>
          </w:tcPr>
          <w:p>
            <w:pPr>
              <w:pStyle w:val="TableContents"/>
              <w:bidi w:val="0"/>
              <w:spacing w:before="0" w:after="283"/>
              <w:jc w:val="left"/>
              <w:rPr/>
            </w:pPr>
            <w:r>
              <w:rPr/>
              <w:t> </w:t>
            </w:r>
          </w:p>
        </w:tc>
        <w:tc>
          <w:tcPr>
            <w:tcW w:w="1535" w:type="dxa"/>
            <w:tcBorders/>
            <w:shd w:fill="EDEDED" w:val="clear"/>
            <w:vAlign w:val="center"/>
          </w:tcPr>
          <w:p>
            <w:pPr>
              <w:pStyle w:val="TableContents"/>
              <w:bidi w:val="0"/>
              <w:spacing w:before="0" w:after="283"/>
              <w:jc w:val="center"/>
              <w:rPr>
                <w:color w:val="191919"/>
              </w:rPr>
            </w:pPr>
            <w:r>
              <w:rPr>
                <w:color w:val="191919"/>
              </w:rPr>
              <w:t>—</w:t>
            </w:r>
          </w:p>
        </w:tc>
        <w:tc>
          <w:tcPr>
            <w:tcW w:w="120" w:type="dxa"/>
            <w:tcBorders/>
            <w:shd w:fill="EDEDED" w:val="clear"/>
            <w:vAlign w:val="center"/>
          </w:tcPr>
          <w:p>
            <w:pPr>
              <w:pStyle w:val="TableContents"/>
              <w:bidi w:val="0"/>
              <w:spacing w:before="0" w:after="283"/>
              <w:jc w:val="left"/>
              <w:rPr/>
            </w:pPr>
            <w:r>
              <w:rPr/>
              <w:t>  </w:t>
            </w:r>
          </w:p>
        </w:tc>
        <w:tc>
          <w:tcPr>
            <w:tcW w:w="1280" w:type="dxa"/>
            <w:tcBorders/>
            <w:shd w:fill="EDEDED" w:val="clear"/>
            <w:vAlign w:val="center"/>
          </w:tcPr>
          <w:p>
            <w:pPr>
              <w:pStyle w:val="TableContents"/>
              <w:bidi w:val="0"/>
              <w:spacing w:before="0" w:after="283"/>
              <w:jc w:val="center"/>
              <w:rPr>
                <w:color w:val="191919"/>
              </w:rPr>
            </w:pPr>
            <w:r>
              <w:rPr>
                <w:color w:val="191919"/>
              </w:rPr>
              <w:t>—</w:t>
            </w:r>
          </w:p>
        </w:tc>
        <w:tc>
          <w:tcPr>
            <w:tcW w:w="120" w:type="dxa"/>
            <w:tcBorders/>
            <w:shd w:fill="EDEDED" w:val="clear"/>
            <w:vAlign w:val="center"/>
          </w:tcPr>
          <w:p>
            <w:pPr>
              <w:pStyle w:val="TableContents"/>
              <w:bidi w:val="0"/>
              <w:spacing w:before="0" w:after="283"/>
              <w:jc w:val="left"/>
              <w:rPr/>
            </w:pPr>
            <w:r>
              <w:rPr/>
              <w:t>  </w:t>
            </w:r>
          </w:p>
        </w:tc>
        <w:tc>
          <w:tcPr>
            <w:tcW w:w="1505" w:type="dxa"/>
            <w:tcBorders/>
            <w:shd w:fill="EDEDED" w:val="clear"/>
            <w:vAlign w:val="center"/>
          </w:tcPr>
          <w:p>
            <w:pPr>
              <w:pStyle w:val="TableContents"/>
              <w:bidi w:val="0"/>
              <w:spacing w:before="0" w:after="283"/>
              <w:jc w:val="center"/>
              <w:rPr>
                <w:color w:val="191919"/>
              </w:rPr>
            </w:pPr>
            <w:r>
              <w:rPr>
                <w:color w:val="191919"/>
              </w:rPr>
              <w:t>—</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r>
      <w:tr>
        <w:trPr/>
        <w:tc>
          <w:tcPr>
            <w:tcW w:w="4550" w:type="dxa"/>
            <w:tcBorders>
              <w:bottom w:val="single" w:sz="6" w:space="0" w:color="7DB655"/>
            </w:tcBorders>
            <w:tcMar>
              <w:bottom w:w="80" w:type="dxa"/>
            </w:tcMar>
            <w:vAlign w:val="center"/>
          </w:tcPr>
          <w:p>
            <w:pPr>
              <w:pStyle w:val="TableContents"/>
              <w:bidi w:val="0"/>
              <w:spacing w:before="0" w:after="0"/>
              <w:jc w:val="left"/>
              <w:rPr>
                <w:rFonts w:ascii="Arial" w:hAnsi="Arial"/>
                <w:b/>
                <w:color w:val="8ABD66"/>
                <w:sz w:val="17"/>
              </w:rPr>
            </w:pPr>
            <w:r>
              <w:rPr>
                <w:rFonts w:ascii="Arial" w:hAnsi="Arial"/>
                <w:b/>
                <w:color w:val="8ABD66"/>
                <w:sz w:val="17"/>
              </w:rPr>
              <w:t>TOTAL</w:t>
            </w:r>
          </w:p>
        </w:tc>
        <w:tc>
          <w:tcPr>
            <w:tcW w:w="60" w:type="dxa"/>
            <w:tcBorders>
              <w:bottom w:val="single" w:sz="6" w:space="0" w:color="7DB655"/>
            </w:tcBorders>
            <w:tcMar>
              <w:bottom w:w="28" w:type="dxa"/>
            </w:tcMar>
            <w:vAlign w:val="center"/>
          </w:tcPr>
          <w:p>
            <w:pPr>
              <w:pStyle w:val="TableContents"/>
              <w:bidi w:val="0"/>
              <w:spacing w:before="0" w:after="283"/>
              <w:jc w:val="left"/>
              <w:rPr/>
            </w:pPr>
            <w:r>
              <w:rPr/>
              <w:t> </w:t>
            </w:r>
          </w:p>
        </w:tc>
        <w:tc>
          <w:tcPr>
            <w:tcW w:w="1535" w:type="dxa"/>
            <w:tcBorders>
              <w:bottom w:val="single" w:sz="6" w:space="0" w:color="7DB655"/>
            </w:tcBorders>
            <w:tcMar>
              <w:bottom w:w="80" w:type="dxa"/>
            </w:tcMar>
            <w:vAlign w:val="center"/>
          </w:tcPr>
          <w:p>
            <w:pPr>
              <w:pStyle w:val="TableContents"/>
              <w:bidi w:val="0"/>
              <w:spacing w:before="0" w:after="283"/>
              <w:jc w:val="center"/>
              <w:rPr>
                <w:color w:val="8ABD66"/>
              </w:rPr>
            </w:pPr>
            <w:r>
              <w:rPr>
                <w:color w:val="8ABD66"/>
              </w:rPr>
              <w:t>—</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280" w:type="dxa"/>
            <w:tcBorders>
              <w:bottom w:val="single" w:sz="6" w:space="0" w:color="7DB655"/>
            </w:tcBorders>
            <w:tcMar>
              <w:bottom w:w="80" w:type="dxa"/>
            </w:tcMar>
            <w:vAlign w:val="center"/>
          </w:tcPr>
          <w:p>
            <w:pPr>
              <w:pStyle w:val="TableContents"/>
              <w:bidi w:val="0"/>
              <w:spacing w:before="0" w:after="283"/>
              <w:jc w:val="center"/>
              <w:rPr>
                <w:color w:val="8ABD66"/>
              </w:rPr>
            </w:pPr>
            <w:r>
              <w:rPr>
                <w:color w:val="8ABD66"/>
              </w:rPr>
              <w:t>—</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505" w:type="dxa"/>
            <w:tcBorders>
              <w:bottom w:val="single" w:sz="6" w:space="0" w:color="7DB655"/>
            </w:tcBorders>
            <w:tcMar>
              <w:bottom w:w="80" w:type="dxa"/>
            </w:tcMar>
            <w:vAlign w:val="center"/>
          </w:tcPr>
          <w:p>
            <w:pPr>
              <w:pStyle w:val="TableContents"/>
              <w:bidi w:val="0"/>
              <w:spacing w:before="0" w:after="283"/>
              <w:jc w:val="center"/>
              <w:rPr>
                <w:b/>
                <w:color w:val="8ABD66"/>
              </w:rPr>
            </w:pPr>
            <w:r>
              <w:rPr>
                <w:b/>
                <w:color w:val="8ABD66"/>
              </w:rPr>
              <w:t>784,584</w:t>
            </w:r>
          </w:p>
        </w:tc>
      </w:tr>
    </w:tbl>
    <w:p>
      <w:pPr>
        <w:pStyle w:val="TextBody"/>
        <w:bidi w:val="0"/>
        <w:spacing w:before="240" w:after="0"/>
        <w:jc w:val="left"/>
        <w:rPr>
          <w:rFonts w:ascii="Arial" w:hAnsi="Arial"/>
          <w:color w:val="191919"/>
          <w:sz w:val="18"/>
        </w:rPr>
      </w:pPr>
      <w:r>
        <w:rPr>
          <w:rFonts w:ascii="Arial" w:hAnsi="Arial"/>
          <w:color w:val="191919"/>
          <w:sz w:val="18"/>
        </w:rPr>
        <w:t xml:space="preserve">Our 2024 Equity and Incentive Compensation Plan (the “2024 Plan”) was approved by our shareholders on August 15, 2024, at the 2024 annual meeting of shareholders (the “2024 Plan Effective Date”). As a result, and as previously disclosed, the remaining share capacity of our prior 2015 Equity and Incentive Compensation Plan (the “2015 Plan”) was forfeited and not rolled into the 2024 Plan’s share reserve, and no new awards were made under the 2015 Plan following the 2024 Plan Effective Date. As of June 30, 2026, there were 765,552 shares of common stock that remained available for future issuance under our 2024 Plan. Additionally, 75,318 and 57,539 shares of common stock were subject to outstanding awards under the 2024 Plan and the 2015 Plan, respectively, in each case calculated based on the target number of shares subject to outstanding equity awards. For additional context, there are no option rights or stock appreciation rights outstanding under the 2024 Plan or the 2015 Plan, and as such all shares subject to outstanding awards represent full value awards. </w:t>
      </w:r>
    </w:p>
    <w:p>
      <w:pPr>
        <w:pStyle w:val="TextBody"/>
        <w:bidi w:val="0"/>
        <w:spacing w:before="360" w:after="0"/>
        <w:jc w:val="left"/>
        <w:rPr>
          <w:rFonts w:ascii="Arial" w:hAnsi="Arial"/>
          <w:b/>
          <w:color w:val="0A7DAC"/>
          <w:sz w:val="40"/>
        </w:rPr>
      </w:pPr>
      <w:bookmarkStart w:id="53" w:name="toc36145_29"/>
      <w:bookmarkEnd w:id="53"/>
      <w:r>
        <w:rPr>
          <w:rFonts w:ascii="Arial" w:hAnsi="Arial"/>
          <w:b/>
          <w:color w:val="0A7DAC"/>
          <w:sz w:val="40"/>
        </w:rPr>
        <w:t xml:space="preserve">Section 16(a) Beneficial Ownership Reporting Compliance </w:t>
      </w:r>
    </w:p>
    <w:p>
      <w:pPr>
        <w:pStyle w:val="TextBody"/>
        <w:bidi w:val="0"/>
        <w:spacing w:before="240" w:after="0"/>
        <w:jc w:val="left"/>
        <w:rPr>
          <w:rFonts w:ascii="Arial" w:hAnsi="Arial"/>
          <w:color w:val="191919"/>
          <w:sz w:val="18"/>
        </w:rPr>
      </w:pPr>
      <w:r>
        <w:rPr>
          <w:rFonts w:ascii="Arial" w:hAnsi="Arial"/>
          <w:color w:val="191919"/>
          <w:sz w:val="18"/>
        </w:rPr>
        <w:t xml:space="preserve">Section 16(a) of the Exchange Act requires the Company’s directors, executive officers and any person beneficially owning more than 10% of the Company’s common stock to file reports of ownership and any changes in ownership with the SEC. Based solely on the Company’s review of reports furnished to the Company and representations provided to the Company by persons required to file reports under Section 16 of the Exchange Act, the Company’s directors, executive officers and greater than 10% beneficial owners properly and timely complied with their Section 16(a) filing requirements during the fiscal year ended March 31, 2026.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7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36" descr=""/>
                          <pic:cNvPicPr>
                            <a:picLocks noChangeAspect="1" noChangeArrowheads="1"/>
                          </pic:cNvPicPr>
                        </pic:nvPicPr>
                        <pic:blipFill>
                          <a:blip r:embed="rId34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54" w:name="txa136145_3b"/>
      <w:bookmarkStart w:id="55" w:name="toc36145_30"/>
      <w:bookmarkEnd w:id="54"/>
      <w:bookmarkEnd w:id="55"/>
      <w:r>
        <w:rPr>
          <w:rFonts w:ascii="Arial" w:hAnsi="Arial"/>
          <w:b/>
          <w:color w:val="0A7DAC"/>
          <w:sz w:val="40"/>
        </w:rPr>
        <w:t xml:space="preserve">Proposal 3: </w:t>
      </w:r>
    </w:p>
    <w:p>
      <w:pPr>
        <w:pStyle w:val="TextBody"/>
        <w:bidi w:val="0"/>
        <w:spacing w:before="0" w:after="0"/>
        <w:jc w:val="left"/>
        <w:rPr>
          <w:rFonts w:ascii="Arial" w:hAnsi="Arial"/>
          <w:b/>
          <w:color w:val="0A7DAC"/>
          <w:sz w:val="40"/>
        </w:rPr>
      </w:pPr>
      <w:r>
        <w:rPr>
          <w:rFonts w:ascii="Arial" w:hAnsi="Arial"/>
          <w:b/>
          <w:color w:val="0A7DAC"/>
          <w:sz w:val="40"/>
        </w:rPr>
        <w:t xml:space="preserve">Ratification of Grant Thornton LLP’s Appointment to Serve as our Independent Registered Public Accounting Firm for Fiscal 2027 </w:t>
      </w:r>
    </w:p>
    <w:p>
      <w:pPr>
        <w:pStyle w:val="TextBody"/>
        <w:bidi w:val="0"/>
        <w:spacing w:before="240" w:after="0"/>
        <w:jc w:val="left"/>
        <w:rPr>
          <w:rFonts w:ascii="Arial" w:hAnsi="Arial"/>
          <w:color w:val="191919"/>
          <w:sz w:val="18"/>
        </w:rPr>
      </w:pPr>
      <w:r>
        <w:rPr>
          <w:rFonts w:ascii="Arial" w:hAnsi="Arial"/>
          <w:color w:val="191919"/>
          <w:sz w:val="18"/>
        </w:rPr>
        <w:t xml:space="preserve">The Audit Committee has approved Grant Thornton LLP (“GT”) to serve as our independent registered public accounting firm for the fiscal year ending March 31, 2027. </w:t>
      </w:r>
    </w:p>
    <w:p>
      <w:pPr>
        <w:pStyle w:val="TextBody"/>
        <w:bidi w:val="0"/>
        <w:spacing w:before="240" w:after="0"/>
        <w:jc w:val="left"/>
        <w:rPr>
          <w:rFonts w:ascii="Arial" w:hAnsi="Arial"/>
          <w:color w:val="191919"/>
          <w:sz w:val="18"/>
        </w:rPr>
      </w:pPr>
      <w:r>
        <w:rPr>
          <w:rFonts w:ascii="Arial" w:hAnsi="Arial"/>
          <w:color w:val="191919"/>
          <w:sz w:val="18"/>
        </w:rPr>
        <w:t xml:space="preserve">We are asking our shareholders to ratify the appointment of GT as our independent registered public accounting firm. The Company’s independent registered public accounting firm is engaged, retained and supervised by the Audit Committee. However, the Board considers a proposal for shareholders to ratify this appointment to be an opportunity for shareholders to provide input to the Audit Committee and the Board on a key corporate governance issue. </w:t>
      </w:r>
    </w:p>
    <w:p>
      <w:pPr>
        <w:pStyle w:val="TextBody"/>
        <w:bidi w:val="0"/>
        <w:spacing w:before="360" w:after="0"/>
        <w:jc w:val="left"/>
        <w:rPr>
          <w:rFonts w:ascii="Arial" w:hAnsi="Arial"/>
          <w:b/>
          <w:color w:val="7DB655"/>
          <w:sz w:val="30"/>
        </w:rPr>
      </w:pPr>
      <w:bookmarkStart w:id="56" w:name="toc36145_31"/>
      <w:bookmarkEnd w:id="56"/>
      <w:r>
        <w:rPr>
          <w:rFonts w:ascii="Arial" w:hAnsi="Arial"/>
          <w:b/>
          <w:color w:val="7DB655"/>
          <w:sz w:val="30"/>
        </w:rPr>
        <w:t xml:space="preserve">Required Vote and Recommendation </w:t>
      </w:r>
    </w:p>
    <w:p>
      <w:pPr>
        <w:pStyle w:val="TextBody"/>
        <w:bidi w:val="0"/>
        <w:spacing w:before="240" w:after="0"/>
        <w:jc w:val="left"/>
        <w:rPr>
          <w:rFonts w:ascii="Arial" w:hAnsi="Arial"/>
          <w:color w:val="191919"/>
          <w:sz w:val="18"/>
        </w:rPr>
      </w:pPr>
      <w:r>
        <w:rPr>
          <w:rFonts w:ascii="Arial" w:hAnsi="Arial"/>
          <w:color w:val="191919"/>
          <w:sz w:val="18"/>
        </w:rPr>
        <w:t xml:space="preserve">The proposal to ratify the appointment of GT to serve as the Company’s independent registered public accounting firm for fiscal 2027 requires the affirmative vote of a majority of the votes cast in person or represented by proxy. The individuals named as proxies on the enclosed proxy card will vote your proxy “FOR” ratifying the appointment of GT unless you instruct otherwise on the proxy or unless you withhold authority to vote. For more information, see “General Voting and Meeting Information — Voting — Counting of Votes.”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6"/>
        <w:gridCol w:w="120"/>
        <w:gridCol w:w="9599"/>
      </w:tblGrid>
      <w:tr>
        <w:trPr/>
        <w:tc>
          <w:tcPr>
            <w:tcW w:w="4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99" w:type="dxa"/>
            <w:tcBorders/>
            <w:vAlign w:val="center"/>
          </w:tcPr>
          <w:p>
            <w:pPr>
              <w:pStyle w:val="TableContents"/>
              <w:bidi w:val="0"/>
              <w:spacing w:before="0" w:after="283"/>
              <w:jc w:val="left"/>
              <w:rPr>
                <w:sz w:val="4"/>
                <w:szCs w:val="4"/>
              </w:rPr>
            </w:pPr>
            <w:r>
              <w:rPr>
                <w:sz w:val="4"/>
                <w:szCs w:val="4"/>
              </w:rPr>
            </w:r>
          </w:p>
        </w:tc>
      </w:tr>
      <w:tr>
        <w:trPr/>
        <w:tc>
          <w:tcPr>
            <w:tcW w:w="486" w:type="dxa"/>
            <w:tcBorders/>
            <w:shd w:fill="EDEDED" w:val="clear"/>
            <w:vAlign w:val="center"/>
          </w:tcPr>
          <w:p>
            <w:pPr>
              <w:pStyle w:val="TableContents"/>
              <w:bidi w:val="0"/>
              <w:spacing w:before="0" w:after="283"/>
              <w:jc w:val="left"/>
              <w:rPr>
                <w:sz w:val="4"/>
                <w:szCs w:val="4"/>
              </w:rPr>
            </w:pPr>
            <w:r>
              <w:rPr>
                <w:sz w:val="4"/>
                <w:szCs w:val="4"/>
              </w:rPr>
            </w:r>
          </w:p>
        </w:tc>
        <w:tc>
          <w:tcPr>
            <w:tcW w:w="9719"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86" w:type="dxa"/>
            <w:tcBorders/>
            <w:shd w:fill="EDEDED" w:val="clear"/>
            <w:vAlign w:val="center"/>
          </w:tcPr>
          <w:p>
            <w:pPr>
              <w:pStyle w:val="TableContents"/>
              <w:bidi w:val="0"/>
              <w:spacing w:before="0" w:after="20"/>
              <w:jc w:val="right"/>
              <w:rPr/>
            </w:pPr>
            <w:r>
              <w:rPr/>
              <w:drawing>
                <wp:inline distT="0" distB="0" distL="0" distR="0">
                  <wp:extent cx="281940" cy="278130"/>
                  <wp:effectExtent l="0" t="0" r="0" b="0"/>
                  <wp:docPr id="378"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37" descr=""/>
                          <pic:cNvPicPr>
                            <a:picLocks noChangeAspect="1" noChangeArrowheads="1"/>
                          </pic:cNvPicPr>
                        </pic:nvPicPr>
                        <pic:blipFill>
                          <a:blip r:embed="rId345"/>
                          <a:stretch>
                            <a:fillRect/>
                          </a:stretch>
                        </pic:blipFill>
                        <pic:spPr bwMode="auto">
                          <a:xfrm>
                            <a:off x="0" y="0"/>
                            <a:ext cx="281940" cy="278130"/>
                          </a:xfrm>
                          <a:prstGeom prst="rect">
                            <a:avLst/>
                          </a:prstGeom>
                        </pic:spPr>
                      </pic:pic>
                    </a:graphicData>
                  </a:graphic>
                </wp:inline>
              </w:drawing>
            </w:r>
            <w:r>
              <w:rPr/>
              <w:t xml:space="preserve"> </w:t>
            </w:r>
          </w:p>
        </w:tc>
        <w:tc>
          <w:tcPr>
            <w:tcW w:w="120" w:type="dxa"/>
            <w:tcBorders/>
            <w:shd w:fill="EDEDED" w:val="clear"/>
            <w:vAlign w:val="center"/>
          </w:tcPr>
          <w:p>
            <w:pPr>
              <w:pStyle w:val="TableContents"/>
              <w:bidi w:val="0"/>
              <w:spacing w:before="0" w:after="283"/>
              <w:jc w:val="left"/>
              <w:rPr/>
            </w:pPr>
            <w:r>
              <w:rPr/>
              <w:t>  </w:t>
            </w:r>
          </w:p>
        </w:tc>
        <w:tc>
          <w:tcPr>
            <w:tcW w:w="9599" w:type="dxa"/>
            <w:tcBorders/>
            <w:shd w:fill="EDEDED" w:val="clear"/>
            <w:vAlign w:val="center"/>
          </w:tcPr>
          <w:p>
            <w:pPr>
              <w:pStyle w:val="TableContents"/>
              <w:bidi w:val="0"/>
              <w:spacing w:before="0" w:after="0"/>
              <w:jc w:val="left"/>
              <w:rPr>
                <w:rFonts w:ascii="Arial" w:hAnsi="Arial"/>
                <w:b/>
                <w:color w:val="7DB655"/>
                <w:sz w:val="20"/>
              </w:rPr>
            </w:pPr>
            <w:r>
              <w:rPr>
                <w:rFonts w:ascii="Arial" w:hAnsi="Arial"/>
                <w:b/>
                <w:color w:val="7DB655"/>
                <w:sz w:val="20"/>
              </w:rPr>
              <w:br/>
              <w:t xml:space="preserve">THE BOARD RECOMMENDS A VOTE </w:t>
            </w:r>
            <w:r>
              <w:rPr>
                <w:rFonts w:ascii="Arial" w:hAnsi="Arial"/>
                <w:b/>
                <w:color w:val="7DB655"/>
                <w:sz w:val="20"/>
                <w:u w:val="single"/>
              </w:rPr>
              <w:t>FOR</w:t>
            </w:r>
            <w:r>
              <w:rPr>
                <w:rFonts w:ascii="Arial" w:hAnsi="Arial"/>
                <w:b/>
                <w:color w:val="7DB655"/>
                <w:sz w:val="20"/>
              </w:rPr>
              <w:t xml:space="preserve"> THE RATIFICATION OF GRANT THORNTON LLP’S APPOINTMENT TO SERVE AS OUR INDEPENDENT REGISTERED PUBLIC ACCOUNTING FIRM FOR FISCAL 2027.</w:t>
            </w:r>
          </w:p>
          <w:p>
            <w:pPr>
              <w:pStyle w:val="TableContents"/>
              <w:bidi w:val="0"/>
              <w:spacing w:before="0" w:after="20"/>
              <w:jc w:val="left"/>
              <w:rPr/>
            </w:pPr>
            <w:r>
              <w:rPr/>
              <w:t> </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79"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38" descr=""/>
                          <pic:cNvPicPr>
                            <a:picLocks noChangeAspect="1" noChangeArrowheads="1"/>
                          </pic:cNvPicPr>
                        </pic:nvPicPr>
                        <pic:blipFill>
                          <a:blip r:embed="rId34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57" w:name="toc36145_32"/>
      <w:bookmarkEnd w:id="57"/>
      <w:r>
        <w:rPr>
          <w:rFonts w:ascii="Arial" w:hAnsi="Arial"/>
          <w:b/>
          <w:color w:val="0A7DAC"/>
          <w:sz w:val="40"/>
        </w:rPr>
        <w:t xml:space="preserve">Report of The Audit Committee </w:t>
      </w:r>
    </w:p>
    <w:p>
      <w:pPr>
        <w:pStyle w:val="TextBody"/>
        <w:bidi w:val="0"/>
        <w:spacing w:before="240" w:after="0"/>
        <w:jc w:val="left"/>
        <w:rPr>
          <w:rFonts w:ascii="Arial" w:hAnsi="Arial"/>
          <w:color w:val="191919"/>
          <w:sz w:val="18"/>
        </w:rPr>
      </w:pPr>
      <w:r>
        <w:rPr>
          <w:rFonts w:ascii="Arial" w:hAnsi="Arial"/>
          <w:color w:val="191919"/>
          <w:sz w:val="18"/>
        </w:rPr>
        <w:t xml:space="preserve">During fiscal 2026, the Audit Committee of the Board of Directors consisted of four independent directors: Anne B. Motsenbocker (Chair), Darron K. Ash, Terry L. Johnston, and J. Kent Sweezey. The Audit Committee operates under a written charter adopted by the Board. The Audit Committee met five times in fiscal 2026. </w:t>
      </w:r>
    </w:p>
    <w:p>
      <w:pPr>
        <w:pStyle w:val="TextBody"/>
        <w:bidi w:val="0"/>
        <w:spacing w:before="240" w:after="0"/>
        <w:jc w:val="left"/>
        <w:rPr>
          <w:rFonts w:ascii="Arial" w:hAnsi="Arial"/>
          <w:color w:val="191919"/>
          <w:sz w:val="18"/>
        </w:rPr>
      </w:pPr>
      <w:r>
        <w:rPr>
          <w:rFonts w:ascii="Arial" w:hAnsi="Arial"/>
          <w:color w:val="191919"/>
          <w:sz w:val="18"/>
        </w:rPr>
        <w:t xml:space="preserve">Management has primary responsibility for the Company’s internal controls and the financial reporting process. The independent auditors are responsible for performing an independent audit of the Company’s consolidated financial statements in accordance with generally accepted auditing standards and issuing a report on this audit. The Audit Committee’s responsibility is to monitor and oversee this process, including engaging the independent auditors, pre-approving their annual audit plan, and reviewing their annual audit report. </w:t>
      </w:r>
    </w:p>
    <w:p>
      <w:pPr>
        <w:pStyle w:val="TextBody"/>
        <w:bidi w:val="0"/>
        <w:spacing w:before="240" w:after="0"/>
        <w:jc w:val="left"/>
        <w:rPr>
          <w:rFonts w:ascii="Arial" w:hAnsi="Arial"/>
          <w:color w:val="191919"/>
          <w:sz w:val="18"/>
        </w:rPr>
      </w:pPr>
      <w:r>
        <w:rPr>
          <w:rFonts w:ascii="Arial" w:hAnsi="Arial"/>
          <w:color w:val="191919"/>
          <w:sz w:val="18"/>
        </w:rPr>
        <w:t xml:space="preserve">In this context, the Audit Committee has reviewed and held detailed discussions with management, including the executive leadership team and internal audit staff, on the Company’s consolidated financial statements and matters relating to the Company’s internal control over financial reporting. Management represented to the Audit Committee that the Company’s consolidated financial statements were prepared in accordance with accounting principles generally accepted in the United States and that these statements fairly present the financial condition and results of operations of the Company for the period described. The Audit Committee has relied upon this representation without any independent verification, except for the work of GT, the Company’s independent registered public accounting firm. The Audit Committee also discussed these statements with GT, both with and without management present, and has relied upon their reported opinion on these financial statements. </w:t>
      </w:r>
    </w:p>
    <w:p>
      <w:pPr>
        <w:pStyle w:val="TextBody"/>
        <w:bidi w:val="0"/>
        <w:spacing w:before="240" w:after="0"/>
        <w:jc w:val="left"/>
        <w:rPr>
          <w:rFonts w:ascii="Arial" w:hAnsi="Arial"/>
          <w:color w:val="191919"/>
          <w:sz w:val="18"/>
        </w:rPr>
      </w:pPr>
      <w:r>
        <w:rPr>
          <w:rFonts w:ascii="Arial" w:hAnsi="Arial"/>
          <w:color w:val="191919"/>
          <w:sz w:val="18"/>
        </w:rPr>
        <w:t xml:space="preserve">The Audit Committee further discussed with GT matters required to be discussed by the applicable requirements of the Public Company Accounting Oversight Board (“PCAOB”) and the SEC. In addition, the Audit Committee received from GT the written disclosures and letter required by applicable requirements of the PCAOB regarding GT’s communications with the Audit Committee concerning its independence and has discussed with GT its independence from the Company and its management. </w:t>
      </w:r>
    </w:p>
    <w:p>
      <w:pPr>
        <w:pStyle w:val="TextBody"/>
        <w:bidi w:val="0"/>
        <w:spacing w:before="240" w:after="0"/>
        <w:jc w:val="left"/>
        <w:rPr>
          <w:rFonts w:ascii="Arial" w:hAnsi="Arial"/>
          <w:color w:val="191919"/>
          <w:sz w:val="18"/>
        </w:rPr>
      </w:pPr>
      <w:r>
        <w:rPr>
          <w:rFonts w:ascii="Arial" w:hAnsi="Arial"/>
          <w:color w:val="191919"/>
          <w:sz w:val="18"/>
        </w:rPr>
        <w:t xml:space="preserve">Based on these reviews and discussions, including the Audit Committee’s specific review with management of the Company’s Annual Report on Form 10-K for the fiscal year ended March 31, 2026 (“Annual Report”) and based upon the representations of management and the report of the independent auditors to the Audit Committee, the Audit Committee recommended to the Board that the audited consolidated financial statements be included in the Annual Report filed with the SEC. </w:t>
      </w:r>
    </w:p>
    <w:p>
      <w:pPr>
        <w:pStyle w:val="TextBody"/>
        <w:bidi w:val="0"/>
        <w:spacing w:before="240" w:after="0"/>
        <w:jc w:val="right"/>
        <w:rPr>
          <w:rFonts w:ascii="Arial" w:hAnsi="Arial"/>
          <w:b/>
          <w:color w:val="191919"/>
          <w:sz w:val="18"/>
        </w:rPr>
      </w:pPr>
      <w:r>
        <w:rPr>
          <w:rFonts w:ascii="Arial" w:hAnsi="Arial"/>
          <w:b/>
          <w:color w:val="191919"/>
          <w:sz w:val="18"/>
        </w:rPr>
        <w:t xml:space="preserve">Anne B. Motsenbocker, Chair  </w:t>
      </w:r>
    </w:p>
    <w:p>
      <w:pPr>
        <w:pStyle w:val="TextBody"/>
        <w:bidi w:val="0"/>
        <w:spacing w:before="0" w:after="0"/>
        <w:jc w:val="right"/>
        <w:rPr>
          <w:rFonts w:ascii="Arial" w:hAnsi="Arial"/>
          <w:b/>
          <w:color w:val="191919"/>
          <w:sz w:val="18"/>
        </w:rPr>
      </w:pPr>
      <w:r>
        <w:rPr>
          <w:rFonts w:ascii="Arial" w:hAnsi="Arial"/>
          <w:b/>
          <w:color w:val="191919"/>
          <w:sz w:val="18"/>
        </w:rPr>
        <w:t xml:space="preserve">Darron K. Ash  </w:t>
      </w:r>
    </w:p>
    <w:p>
      <w:pPr>
        <w:pStyle w:val="TextBody"/>
        <w:bidi w:val="0"/>
        <w:spacing w:before="0" w:after="0"/>
        <w:jc w:val="right"/>
        <w:rPr>
          <w:rFonts w:ascii="Arial" w:hAnsi="Arial"/>
          <w:b/>
          <w:color w:val="191919"/>
          <w:sz w:val="18"/>
        </w:rPr>
      </w:pPr>
      <w:r>
        <w:rPr>
          <w:rFonts w:ascii="Arial" w:hAnsi="Arial"/>
          <w:b/>
          <w:color w:val="191919"/>
          <w:sz w:val="18"/>
        </w:rPr>
        <w:t xml:space="preserve">Terry L. Johnston  </w:t>
      </w:r>
    </w:p>
    <w:p>
      <w:pPr>
        <w:pStyle w:val="TextBody"/>
        <w:bidi w:val="0"/>
        <w:spacing w:before="0" w:after="0"/>
        <w:jc w:val="right"/>
        <w:rPr>
          <w:rFonts w:ascii="Arial" w:hAnsi="Arial"/>
          <w:b/>
          <w:color w:val="191919"/>
          <w:sz w:val="18"/>
        </w:rPr>
      </w:pPr>
      <w:r>
        <w:rPr>
          <w:rFonts w:ascii="Arial" w:hAnsi="Arial"/>
          <w:b/>
          <w:color w:val="191919"/>
          <w:sz w:val="18"/>
        </w:rPr>
        <w:t xml:space="preserve">J. Kent Sweezey 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8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39" descr=""/>
                          <pic:cNvPicPr>
                            <a:picLocks noChangeAspect="1" noChangeArrowheads="1"/>
                          </pic:cNvPicPr>
                        </pic:nvPicPr>
                        <pic:blipFill>
                          <a:blip r:embed="rId347"/>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71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58" w:name="toc36145_33"/>
      <w:bookmarkEnd w:id="58"/>
      <w:r>
        <w:rPr>
          <w:rFonts w:ascii="Arial" w:hAnsi="Arial"/>
          <w:b/>
          <w:color w:val="0A7DAC"/>
          <w:sz w:val="40"/>
        </w:rPr>
        <w:t xml:space="preserve">Other Audit Information </w:t>
      </w:r>
    </w:p>
    <w:p>
      <w:pPr>
        <w:pStyle w:val="TextBody"/>
        <w:bidi w:val="0"/>
        <w:spacing w:before="240" w:after="0"/>
        <w:jc w:val="left"/>
        <w:rPr>
          <w:rFonts w:ascii="Arial" w:hAnsi="Arial"/>
          <w:b/>
          <w:color w:val="7DB655"/>
          <w:sz w:val="30"/>
        </w:rPr>
      </w:pPr>
      <w:bookmarkStart w:id="59" w:name="toc36145_34"/>
      <w:bookmarkEnd w:id="59"/>
      <w:r>
        <w:rPr>
          <w:rFonts w:ascii="Arial" w:hAnsi="Arial"/>
          <w:b/>
          <w:color w:val="7DB655"/>
          <w:sz w:val="30"/>
        </w:rPr>
        <w:t xml:space="preserve">Relationship with Independent Registered Public Accounting Firm </w:t>
      </w:r>
    </w:p>
    <w:p>
      <w:pPr>
        <w:pStyle w:val="TextBody"/>
        <w:bidi w:val="0"/>
        <w:spacing w:before="240" w:after="0"/>
        <w:jc w:val="left"/>
        <w:rPr>
          <w:rFonts w:ascii="Arial" w:hAnsi="Arial"/>
          <w:color w:val="191919"/>
          <w:sz w:val="18"/>
        </w:rPr>
      </w:pPr>
      <w:r>
        <w:rPr>
          <w:rFonts w:ascii="Arial" w:hAnsi="Arial"/>
          <w:color w:val="191919"/>
          <w:sz w:val="18"/>
        </w:rPr>
        <w:t xml:space="preserve">The Audit Committee appointed GT to serve as the Company’s independent registered public accounting firm for the fiscal year ending March 31, 2026. In this role, GT audits the Company’s financial statements. Representatives from GT will attend the Annual Meeting and will be available to respond to appropriate questions from shareholders. They will have the opportunity to make a statement if they wish. </w:t>
      </w:r>
    </w:p>
    <w:p>
      <w:pPr>
        <w:pStyle w:val="TextBody"/>
        <w:bidi w:val="0"/>
        <w:spacing w:before="360" w:after="0"/>
        <w:jc w:val="left"/>
        <w:rPr>
          <w:rFonts w:ascii="Arial" w:hAnsi="Arial"/>
          <w:b/>
          <w:color w:val="7DB655"/>
          <w:sz w:val="30"/>
        </w:rPr>
      </w:pPr>
      <w:bookmarkStart w:id="60" w:name="toc36145_35"/>
      <w:bookmarkEnd w:id="60"/>
      <w:r>
        <w:rPr>
          <w:rFonts w:ascii="Arial" w:hAnsi="Arial"/>
          <w:b/>
          <w:color w:val="7DB655"/>
          <w:sz w:val="30"/>
        </w:rPr>
        <w:t xml:space="preserve">Audit and Non-Audit Fees and Services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summarizes the aggregate fees (excluding value-added taxes) for professional services incurred by the Company for the audits of its fiscal 2026 financial statements and other fees billed to the Company by GT in fiscal 2026. In general, the Company retains GT for services that are related to or an extension of the Company’s annual audit. </w:t>
      </w:r>
    </w:p>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2825"/>
        <w:gridCol w:w="120"/>
        <w:gridCol w:w="110"/>
        <w:gridCol w:w="740"/>
        <w:gridCol w:w="60"/>
        <w:gridCol w:w="120"/>
        <w:gridCol w:w="110"/>
        <w:gridCol w:w="740"/>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25" w:type="dxa"/>
            <w:tcBorders>
              <w:bottom w:val="single" w:sz="56" w:space="0" w:color="7DB65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85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2026</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85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2025</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pPr>
            <w:r>
              <w:rPr/>
              <w:t> </w:t>
            </w:r>
          </w:p>
          <w:p>
            <w:pPr>
              <w:pStyle w:val="TableContents"/>
              <w:bidi w:val="0"/>
              <w:spacing w:lineRule="atLeast" w:line="160" w:before="0" w:after="20"/>
              <w:jc w:val="left"/>
              <w:rPr>
                <w:rFonts w:ascii="Arial" w:hAnsi="Arial"/>
                <w:color w:val="191919"/>
                <w:sz w:val="17"/>
              </w:rPr>
            </w:pPr>
            <w:r>
              <w:rPr>
                <w:rFonts w:ascii="Arial" w:hAnsi="Arial"/>
                <w:color w:val="191919"/>
                <w:sz w:val="17"/>
              </w:rPr>
              <w:t>Audit Fees(1)</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p>
            <w:pPr>
              <w:pStyle w:val="TableContents"/>
              <w:bidi w:val="0"/>
              <w:spacing w:lineRule="atLeast" w:line="220" w:before="0" w:after="20"/>
              <w:jc w:val="left"/>
              <w:rPr>
                <w:rFonts w:ascii="Arial" w:hAnsi="Arial"/>
                <w:color w:val="191919"/>
                <w:sz w:val="16"/>
              </w:rPr>
            </w:pPr>
            <w:r>
              <w:rPr>
                <w:rFonts w:ascii="Arial" w:hAnsi="Arial"/>
                <w:color w:val="191919"/>
                <w:sz w:val="16"/>
              </w:rPr>
              <w:t>$</w:t>
            </w:r>
          </w:p>
        </w:tc>
        <w:tc>
          <w:tcPr>
            <w:tcW w:w="740" w:type="dxa"/>
            <w:tcBorders/>
            <w:vAlign w:val="center"/>
          </w:tcPr>
          <w:p>
            <w:pPr>
              <w:pStyle w:val="TableContents"/>
              <w:bidi w:val="0"/>
              <w:spacing w:before="0" w:after="0"/>
              <w:jc w:val="left"/>
              <w:rPr/>
            </w:pPr>
            <w:r>
              <w:rPr/>
              <w:t> </w:t>
            </w:r>
          </w:p>
          <w:p>
            <w:pPr>
              <w:pStyle w:val="TableContents"/>
              <w:bidi w:val="0"/>
              <w:spacing w:lineRule="atLeast" w:line="220" w:before="0" w:after="20"/>
              <w:jc w:val="right"/>
              <w:rPr>
                <w:rFonts w:ascii="Arial" w:hAnsi="Arial"/>
                <w:color w:val="191919"/>
                <w:sz w:val="16"/>
              </w:rPr>
            </w:pPr>
            <w:r>
              <w:rPr>
                <w:rFonts w:ascii="Arial" w:hAnsi="Arial"/>
                <w:color w:val="191919"/>
                <w:sz w:val="16"/>
              </w:rPr>
              <w:t>2,398,890</w:t>
            </w:r>
          </w:p>
        </w:tc>
        <w:tc>
          <w:tcPr>
            <w:tcW w:w="60" w:type="dxa"/>
            <w:tcBorders/>
            <w:vAlign w:val="center"/>
          </w:tcPr>
          <w:p>
            <w:pPr>
              <w:pStyle w:val="TableContents"/>
              <w:bidi w:val="0"/>
              <w:spacing w:before="0" w:after="0"/>
              <w:jc w:val="left"/>
              <w:rPr/>
            </w:pPr>
            <w:r>
              <w:rPr/>
              <w:t> </w:t>
            </w:r>
          </w:p>
          <w:p>
            <w:pPr>
              <w:pStyle w:val="TableContents"/>
              <w:bidi w:val="0"/>
              <w:spacing w:lineRule="atLeast" w:line="220" w:before="0" w:after="2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p>
            <w:pPr>
              <w:pStyle w:val="TableContents"/>
              <w:bidi w:val="0"/>
              <w:spacing w:lineRule="atLeast" w:line="220" w:before="0" w:after="20"/>
              <w:jc w:val="left"/>
              <w:rPr>
                <w:rFonts w:ascii="Arial" w:hAnsi="Arial"/>
                <w:color w:val="191919"/>
                <w:sz w:val="16"/>
              </w:rPr>
            </w:pPr>
            <w:r>
              <w:rPr>
                <w:rFonts w:ascii="Arial" w:hAnsi="Arial"/>
                <w:color w:val="191919"/>
                <w:sz w:val="16"/>
              </w:rPr>
              <w:t>$</w:t>
            </w:r>
          </w:p>
        </w:tc>
        <w:tc>
          <w:tcPr>
            <w:tcW w:w="740" w:type="dxa"/>
            <w:tcBorders/>
            <w:vAlign w:val="center"/>
          </w:tcPr>
          <w:p>
            <w:pPr>
              <w:pStyle w:val="TableContents"/>
              <w:bidi w:val="0"/>
              <w:spacing w:before="0" w:after="0"/>
              <w:jc w:val="left"/>
              <w:rPr/>
            </w:pPr>
            <w:r>
              <w:rPr/>
              <w:t> </w:t>
            </w:r>
          </w:p>
          <w:p>
            <w:pPr>
              <w:pStyle w:val="TableContents"/>
              <w:bidi w:val="0"/>
              <w:spacing w:lineRule="atLeast" w:line="220" w:before="0" w:after="20"/>
              <w:jc w:val="right"/>
              <w:rPr>
                <w:rFonts w:ascii="Arial" w:hAnsi="Arial"/>
                <w:color w:val="191919"/>
                <w:sz w:val="16"/>
              </w:rPr>
            </w:pPr>
            <w:r>
              <w:rPr>
                <w:rFonts w:ascii="Arial" w:hAnsi="Arial"/>
                <w:color w:val="191919"/>
                <w:sz w:val="16"/>
              </w:rPr>
              <w:t>2,207,393</w:t>
            </w:r>
          </w:p>
        </w:tc>
        <w:tc>
          <w:tcPr>
            <w:tcW w:w="75" w:type="dxa"/>
            <w:tcBorders/>
            <w:vAlign w:val="center"/>
          </w:tcPr>
          <w:p>
            <w:pPr>
              <w:pStyle w:val="TableContents"/>
              <w:bidi w:val="0"/>
              <w:spacing w:before="0" w:after="0"/>
              <w:jc w:val="left"/>
              <w:rPr/>
            </w:pPr>
            <w:r>
              <w:rPr/>
              <w:t> </w:t>
            </w:r>
          </w:p>
          <w:p>
            <w:pPr>
              <w:pStyle w:val="TableContents"/>
              <w:bidi w:val="0"/>
              <w:spacing w:lineRule="atLeast" w:line="220" w:before="0" w:after="20"/>
              <w:jc w:val="left"/>
              <w:rPr>
                <w:color w:val="191919"/>
              </w:rPr>
            </w:pPr>
            <w:r>
              <w:rPr>
                <w:color w:val="191919"/>
              </w:rPr>
              <w:t> </w:t>
            </w:r>
          </w:p>
        </w:tc>
      </w:tr>
      <w:tr>
        <w:trPr/>
        <w:tc>
          <w:tcPr>
            <w:tcW w:w="2825" w:type="dxa"/>
            <w:tcBorders/>
            <w:shd w:fill="EDEDED" w:val="clear"/>
            <w:vAlign w:val="center"/>
          </w:tcPr>
          <w:p>
            <w:pPr>
              <w:pStyle w:val="TableContents"/>
              <w:bidi w:val="0"/>
              <w:spacing w:before="0" w:after="283"/>
              <w:jc w:val="left"/>
              <w:rPr>
                <w:sz w:val="4"/>
                <w:szCs w:val="4"/>
              </w:rPr>
            </w:pPr>
            <w:r>
              <w:rPr>
                <w:sz w:val="4"/>
                <w:szCs w:val="4"/>
              </w:rPr>
            </w:r>
          </w:p>
        </w:tc>
        <w:tc>
          <w:tcPr>
            <w:tcW w:w="1030" w:type="dxa"/>
            <w:gridSpan w:val="4"/>
            <w:tcBorders/>
            <w:shd w:fill="EDEDED" w:val="clear"/>
            <w:vAlign w:val="center"/>
          </w:tcPr>
          <w:p>
            <w:pPr>
              <w:pStyle w:val="TableContents"/>
              <w:bidi w:val="0"/>
              <w:spacing w:before="0" w:after="283"/>
              <w:jc w:val="left"/>
              <w:rPr>
                <w:sz w:val="4"/>
                <w:szCs w:val="4"/>
              </w:rPr>
            </w:pPr>
            <w:r>
              <w:rPr>
                <w:sz w:val="4"/>
                <w:szCs w:val="4"/>
              </w:rPr>
            </w:r>
          </w:p>
        </w:tc>
        <w:tc>
          <w:tcPr>
            <w:tcW w:w="104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825" w:type="dxa"/>
            <w:tcBorders/>
            <w:shd w:fill="EDEDED" w:val="clear"/>
            <w:vAlign w:val="center"/>
          </w:tcPr>
          <w:p>
            <w:pPr>
              <w:pStyle w:val="TableContents"/>
              <w:bidi w:val="0"/>
              <w:spacing w:lineRule="atLeast" w:line="160" w:before="0" w:after="0"/>
              <w:jc w:val="left"/>
              <w:rPr>
                <w:rFonts w:ascii="Arial" w:hAnsi="Arial"/>
                <w:color w:val="191919"/>
                <w:sz w:val="17"/>
              </w:rPr>
            </w:pPr>
            <w:r>
              <w:rPr>
                <w:rFonts w:ascii="Arial" w:hAnsi="Arial"/>
                <w:color w:val="191919"/>
                <w:sz w:val="17"/>
              </w:rPr>
              <w:t>Audit Related Fees(2)</w:t>
            </w:r>
          </w:p>
        </w:tc>
        <w:tc>
          <w:tcPr>
            <w:tcW w:w="12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740"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360,217</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740" w:type="dxa"/>
            <w:tcBorders/>
            <w:shd w:fill="EDEDED" w:val="clear"/>
            <w:vAlign w:val="center"/>
          </w:tcPr>
          <w:p>
            <w:pPr>
              <w:pStyle w:val="TableContents"/>
              <w:bidi w:val="0"/>
              <w:spacing w:lineRule="atLeast" w:line="220" w:before="0" w:after="0"/>
              <w:jc w:val="right"/>
              <w:rPr>
                <w:rFonts w:ascii="Arial" w:hAnsi="Arial"/>
                <w:color w:val="191919"/>
                <w:sz w:val="16"/>
              </w:rPr>
            </w:pPr>
            <w:r>
              <w:rPr>
                <w:rFonts w:ascii="Arial" w:hAnsi="Arial"/>
                <w:color w:val="191919"/>
                <w:sz w:val="16"/>
              </w:rPr>
              <w:t>255,200</w:t>
            </w:r>
          </w:p>
        </w:tc>
        <w:tc>
          <w:tcPr>
            <w:tcW w:w="75" w:type="dxa"/>
            <w:tcBorders/>
            <w:shd w:fill="EDEDED" w:val="clear"/>
            <w:vAlign w:val="center"/>
          </w:tcPr>
          <w:p>
            <w:pPr>
              <w:pStyle w:val="TableContents"/>
              <w:bidi w:val="0"/>
              <w:spacing w:lineRule="atLeast" w:line="220" w:before="0" w:after="0"/>
              <w:jc w:val="left"/>
              <w:rPr>
                <w:color w:val="191919"/>
              </w:rPr>
            </w:pPr>
            <w:r>
              <w:rPr>
                <w:color w:val="191919"/>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lineRule="atLeast" w:line="220" w:before="0" w:after="0"/>
              <w:jc w:val="left"/>
              <w:rPr>
                <w:rFonts w:ascii="Arial" w:hAnsi="Arial"/>
                <w:b/>
                <w:color w:val="191919"/>
                <w:sz w:val="17"/>
              </w:rPr>
            </w:pPr>
            <w:r>
              <w:rPr>
                <w:rFonts w:ascii="Arial" w:hAnsi="Arial"/>
                <w:b/>
                <w:color w:val="191919"/>
                <w:sz w:val="17"/>
              </w:rPr>
              <w:t>Total Audit and Audit-Related Fees</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20" w:before="0" w:after="0"/>
              <w:jc w:val="left"/>
              <w:rPr>
                <w:color w:val="191919"/>
              </w:rPr>
            </w:pPr>
            <w:r>
              <w:rPr>
                <w:color w:val="191919"/>
              </w:rPr>
              <w:t> </w:t>
            </w:r>
          </w:p>
        </w:tc>
        <w:tc>
          <w:tcPr>
            <w:tcW w:w="740" w:type="dxa"/>
            <w:tcBorders/>
            <w:vAlign w:val="center"/>
          </w:tcPr>
          <w:p>
            <w:pPr>
              <w:pStyle w:val="TableContents"/>
              <w:bidi w:val="0"/>
              <w:spacing w:lineRule="atLeast" w:line="220" w:before="0" w:after="0"/>
              <w:jc w:val="right"/>
              <w:rPr>
                <w:rFonts w:ascii="Arial" w:hAnsi="Arial"/>
                <w:b/>
                <w:color w:val="191919"/>
                <w:sz w:val="16"/>
              </w:rPr>
            </w:pPr>
            <w:r>
              <w:rPr>
                <w:rFonts w:ascii="Arial" w:hAnsi="Arial"/>
                <w:b/>
                <w:color w:val="191919"/>
                <w:sz w:val="16"/>
              </w:rPr>
              <w:t>2,759,107</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20" w:before="0" w:after="0"/>
              <w:jc w:val="left"/>
              <w:rPr>
                <w:color w:val="191919"/>
              </w:rPr>
            </w:pPr>
            <w:r>
              <w:rPr>
                <w:color w:val="191919"/>
              </w:rPr>
              <w:t> </w:t>
            </w:r>
          </w:p>
        </w:tc>
        <w:tc>
          <w:tcPr>
            <w:tcW w:w="740" w:type="dxa"/>
            <w:tcBorders/>
            <w:vAlign w:val="center"/>
          </w:tcPr>
          <w:p>
            <w:pPr>
              <w:pStyle w:val="TableContents"/>
              <w:bidi w:val="0"/>
              <w:spacing w:lineRule="atLeast" w:line="220" w:before="0" w:after="0"/>
              <w:jc w:val="right"/>
              <w:rPr>
                <w:rFonts w:ascii="Arial" w:hAnsi="Arial"/>
                <w:b/>
                <w:color w:val="191919"/>
                <w:sz w:val="16"/>
              </w:rPr>
            </w:pPr>
            <w:r>
              <w:rPr>
                <w:rFonts w:ascii="Arial" w:hAnsi="Arial"/>
                <w:b/>
                <w:color w:val="191919"/>
                <w:sz w:val="16"/>
              </w:rPr>
              <w:t>2,462,593</w:t>
            </w:r>
          </w:p>
        </w:tc>
        <w:tc>
          <w:tcPr>
            <w:tcW w:w="75" w:type="dxa"/>
            <w:tcBorders/>
            <w:vAlign w:val="center"/>
          </w:tcPr>
          <w:p>
            <w:pPr>
              <w:pStyle w:val="TableContents"/>
              <w:bidi w:val="0"/>
              <w:spacing w:lineRule="atLeast" w:line="220" w:before="0" w:after="0"/>
              <w:jc w:val="left"/>
              <w:rPr>
                <w:color w:val="191919"/>
              </w:rPr>
            </w:pPr>
            <w:r>
              <w:rPr>
                <w:color w:val="191919"/>
              </w:rPr>
              <w:t> </w:t>
            </w:r>
          </w:p>
        </w:tc>
      </w:tr>
      <w:tr>
        <w:trPr/>
        <w:tc>
          <w:tcPr>
            <w:tcW w:w="2825" w:type="dxa"/>
            <w:tcBorders/>
            <w:shd w:fill="EDEDED" w:val="clear"/>
            <w:vAlign w:val="center"/>
          </w:tcPr>
          <w:p>
            <w:pPr>
              <w:pStyle w:val="TableContents"/>
              <w:bidi w:val="0"/>
              <w:spacing w:before="0" w:after="283"/>
              <w:jc w:val="left"/>
              <w:rPr>
                <w:sz w:val="4"/>
                <w:szCs w:val="4"/>
              </w:rPr>
            </w:pPr>
            <w:r>
              <w:rPr>
                <w:sz w:val="4"/>
                <w:szCs w:val="4"/>
              </w:rPr>
            </w:r>
          </w:p>
        </w:tc>
        <w:tc>
          <w:tcPr>
            <w:tcW w:w="1030" w:type="dxa"/>
            <w:gridSpan w:val="4"/>
            <w:tcBorders/>
            <w:shd w:fill="EDEDED" w:val="clear"/>
            <w:vAlign w:val="center"/>
          </w:tcPr>
          <w:p>
            <w:pPr>
              <w:pStyle w:val="TableContents"/>
              <w:bidi w:val="0"/>
              <w:spacing w:before="0" w:after="283"/>
              <w:jc w:val="left"/>
              <w:rPr>
                <w:sz w:val="4"/>
                <w:szCs w:val="4"/>
              </w:rPr>
            </w:pPr>
            <w:r>
              <w:rPr>
                <w:sz w:val="4"/>
                <w:szCs w:val="4"/>
              </w:rPr>
            </w:r>
          </w:p>
        </w:tc>
        <w:tc>
          <w:tcPr>
            <w:tcW w:w="104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825" w:type="dxa"/>
            <w:tcBorders/>
            <w:shd w:fill="EDEDED" w:val="clear"/>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Tax Fees</w:t>
            </w:r>
          </w:p>
        </w:tc>
        <w:tc>
          <w:tcPr>
            <w:tcW w:w="12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740" w:type="dxa"/>
            <w:tcBorders/>
            <w:shd w:fill="EDEDED" w:val="clear"/>
            <w:vAlign w:val="center"/>
          </w:tcPr>
          <w:p>
            <w:pPr>
              <w:pStyle w:val="TableContents"/>
              <w:bidi w:val="0"/>
              <w:spacing w:lineRule="atLeast" w:line="220" w:before="0" w:after="0"/>
              <w:jc w:val="center"/>
              <w:rPr>
                <w:color w:val="191919"/>
              </w:rPr>
            </w:pPr>
            <w:r>
              <w:rPr>
                <w:color w:val="191919"/>
              </w:rPr>
              <w:t>—</w:t>
            </w:r>
          </w:p>
        </w:tc>
        <w:tc>
          <w:tcPr>
            <w:tcW w:w="6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lineRule="atLeast" w:line="220" w:before="0" w:after="0"/>
              <w:jc w:val="left"/>
              <w:rPr>
                <w:color w:val="191919"/>
              </w:rPr>
            </w:pPr>
            <w:r>
              <w:rPr>
                <w:color w:val="191919"/>
              </w:rPr>
              <w:t> </w:t>
            </w:r>
          </w:p>
        </w:tc>
        <w:tc>
          <w:tcPr>
            <w:tcW w:w="740" w:type="dxa"/>
            <w:tcBorders/>
            <w:shd w:fill="EDEDED" w:val="clear"/>
            <w:vAlign w:val="center"/>
          </w:tcPr>
          <w:p>
            <w:pPr>
              <w:pStyle w:val="TableContents"/>
              <w:bidi w:val="0"/>
              <w:spacing w:lineRule="atLeast" w:line="220" w:before="0" w:after="0"/>
              <w:jc w:val="center"/>
              <w:rPr>
                <w:color w:val="191919"/>
              </w:rPr>
            </w:pPr>
            <w:r>
              <w:rPr>
                <w:color w:val="191919"/>
              </w:rPr>
              <w:t>—</w:t>
            </w:r>
          </w:p>
        </w:tc>
        <w:tc>
          <w:tcPr>
            <w:tcW w:w="75" w:type="dxa"/>
            <w:tcBorders/>
            <w:shd w:fill="EDEDED" w:val="clear"/>
            <w:vAlign w:val="center"/>
          </w:tcPr>
          <w:p>
            <w:pPr>
              <w:pStyle w:val="TableContents"/>
              <w:bidi w:val="0"/>
              <w:spacing w:lineRule="atLeast" w:line="220" w:before="0" w:after="0"/>
              <w:jc w:val="left"/>
              <w:rPr>
                <w:color w:val="191919"/>
              </w:rPr>
            </w:pPr>
            <w:r>
              <w:rPr>
                <w:color w:val="191919"/>
              </w:rPr>
              <w:t> </w:t>
            </w:r>
          </w:p>
        </w:tc>
      </w:tr>
      <w:tr>
        <w:trPr/>
        <w:tc>
          <w:tcPr>
            <w:tcW w:w="2825" w:type="dxa"/>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lineRule="atLeast" w:line="220" w:before="0" w:after="0"/>
              <w:jc w:val="left"/>
              <w:rPr>
                <w:rFonts w:ascii="Arial" w:hAnsi="Arial"/>
                <w:color w:val="191919"/>
                <w:sz w:val="17"/>
              </w:rPr>
            </w:pPr>
            <w:r>
              <w:rPr>
                <w:rFonts w:ascii="Arial" w:hAnsi="Arial"/>
                <w:color w:val="191919"/>
                <w:sz w:val="17"/>
              </w:rPr>
              <w:t>All Other Fees</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20" w:before="0" w:after="0"/>
              <w:jc w:val="left"/>
              <w:rPr>
                <w:color w:val="191919"/>
              </w:rPr>
            </w:pPr>
            <w:r>
              <w:rPr>
                <w:color w:val="191919"/>
              </w:rPr>
              <w:t> </w:t>
            </w:r>
          </w:p>
        </w:tc>
        <w:tc>
          <w:tcPr>
            <w:tcW w:w="740" w:type="dxa"/>
            <w:tcBorders/>
            <w:vAlign w:val="center"/>
          </w:tcPr>
          <w:p>
            <w:pPr>
              <w:pStyle w:val="TableContents"/>
              <w:bidi w:val="0"/>
              <w:spacing w:lineRule="atLeast" w:line="220" w:before="0" w:after="0"/>
              <w:jc w:val="center"/>
              <w:rPr>
                <w:color w:val="191919"/>
              </w:rPr>
            </w:pPr>
            <w:r>
              <w:rPr>
                <w:color w:val="191919"/>
              </w:rPr>
              <w:t>—</w:t>
            </w:r>
          </w:p>
        </w:tc>
        <w:tc>
          <w:tcPr>
            <w:tcW w:w="60" w:type="dxa"/>
            <w:tcBorders/>
            <w:vAlign w:val="center"/>
          </w:tcPr>
          <w:p>
            <w:pPr>
              <w:pStyle w:val="TableContents"/>
              <w:bidi w:val="0"/>
              <w:spacing w:lineRule="atLeast" w:line="220" w:before="0" w:after="0"/>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tLeast" w:line="220" w:before="0" w:after="0"/>
              <w:jc w:val="left"/>
              <w:rPr>
                <w:color w:val="191919"/>
              </w:rPr>
            </w:pPr>
            <w:r>
              <w:rPr>
                <w:color w:val="191919"/>
              </w:rPr>
              <w:t> </w:t>
            </w:r>
          </w:p>
        </w:tc>
        <w:tc>
          <w:tcPr>
            <w:tcW w:w="740" w:type="dxa"/>
            <w:tcBorders/>
            <w:vAlign w:val="center"/>
          </w:tcPr>
          <w:p>
            <w:pPr>
              <w:pStyle w:val="TableContents"/>
              <w:bidi w:val="0"/>
              <w:spacing w:lineRule="atLeast" w:line="220" w:before="0" w:after="0"/>
              <w:jc w:val="center"/>
              <w:rPr>
                <w:color w:val="191919"/>
              </w:rPr>
            </w:pPr>
            <w:r>
              <w:rPr>
                <w:color w:val="191919"/>
              </w:rPr>
              <w:t>—</w:t>
            </w:r>
          </w:p>
        </w:tc>
        <w:tc>
          <w:tcPr>
            <w:tcW w:w="75" w:type="dxa"/>
            <w:tcBorders/>
            <w:vAlign w:val="center"/>
          </w:tcPr>
          <w:p>
            <w:pPr>
              <w:pStyle w:val="TableContents"/>
              <w:bidi w:val="0"/>
              <w:spacing w:lineRule="atLeast" w:line="220" w:before="0" w:after="0"/>
              <w:jc w:val="left"/>
              <w:rPr>
                <w:color w:val="191919"/>
              </w:rPr>
            </w:pPr>
            <w:r>
              <w:rPr>
                <w:color w:val="191919"/>
              </w:rPr>
              <w:t> </w:t>
            </w:r>
          </w:p>
        </w:tc>
      </w:tr>
      <w:tr>
        <w:trPr/>
        <w:tc>
          <w:tcPr>
            <w:tcW w:w="2825" w:type="dxa"/>
            <w:tcBorders/>
            <w:shd w:fill="EDEDED" w:val="clear"/>
            <w:vAlign w:val="center"/>
          </w:tcPr>
          <w:p>
            <w:pPr>
              <w:pStyle w:val="TableContents"/>
              <w:bidi w:val="0"/>
              <w:spacing w:before="0" w:after="283"/>
              <w:jc w:val="left"/>
              <w:rPr>
                <w:sz w:val="4"/>
                <w:szCs w:val="4"/>
              </w:rPr>
            </w:pPr>
            <w:r>
              <w:rPr>
                <w:sz w:val="4"/>
                <w:szCs w:val="4"/>
              </w:rPr>
            </w:r>
          </w:p>
        </w:tc>
        <w:tc>
          <w:tcPr>
            <w:tcW w:w="1030" w:type="dxa"/>
            <w:gridSpan w:val="4"/>
            <w:tcBorders/>
            <w:shd w:fill="EDEDED" w:val="clear"/>
            <w:vAlign w:val="center"/>
          </w:tcPr>
          <w:p>
            <w:pPr>
              <w:pStyle w:val="TableContents"/>
              <w:bidi w:val="0"/>
              <w:spacing w:before="0" w:after="283"/>
              <w:jc w:val="left"/>
              <w:rPr>
                <w:sz w:val="4"/>
                <w:szCs w:val="4"/>
              </w:rPr>
            </w:pPr>
            <w:r>
              <w:rPr>
                <w:sz w:val="4"/>
                <w:szCs w:val="4"/>
              </w:rPr>
            </w:r>
          </w:p>
        </w:tc>
        <w:tc>
          <w:tcPr>
            <w:tcW w:w="104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825" w:type="dxa"/>
            <w:tcBorders>
              <w:bottom w:val="single" w:sz="6" w:space="0" w:color="7DB655"/>
            </w:tcBorders>
            <w:shd w:fill="EDEDED" w:val="clear"/>
            <w:tcMar>
              <w:bottom w:w="40" w:type="dxa"/>
            </w:tcMar>
            <w:vAlign w:val="center"/>
          </w:tcPr>
          <w:p>
            <w:pPr>
              <w:pStyle w:val="TableContents"/>
              <w:bidi w:val="0"/>
              <w:spacing w:lineRule="atLeast" w:line="220" w:before="0" w:after="0"/>
              <w:jc w:val="left"/>
              <w:rPr>
                <w:rFonts w:ascii="Arial" w:hAnsi="Arial"/>
                <w:b/>
                <w:color w:val="7DB655"/>
                <w:sz w:val="17"/>
              </w:rPr>
            </w:pPr>
            <w:r>
              <w:rPr>
                <w:rFonts w:ascii="Arial" w:hAnsi="Arial"/>
                <w:b/>
                <w:color w:val="7DB655"/>
                <w:sz w:val="17"/>
              </w:rPr>
              <w:t>TOTAL FEES</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10" w:type="dxa"/>
            <w:tcBorders>
              <w:bottom w:val="single" w:sz="6" w:space="0" w:color="7DB655"/>
            </w:tcBorders>
            <w:shd w:fill="EDEDED" w:val="clear"/>
            <w:tcMar>
              <w:bottom w:w="40" w:type="dxa"/>
            </w:tcMar>
            <w:vAlign w:val="center"/>
          </w:tcPr>
          <w:p>
            <w:pPr>
              <w:pStyle w:val="TableContents"/>
              <w:bidi w:val="0"/>
              <w:spacing w:lineRule="atLeast" w:line="220" w:before="0" w:after="0"/>
              <w:jc w:val="left"/>
              <w:rPr>
                <w:rFonts w:ascii="Arial" w:hAnsi="Arial"/>
                <w:b/>
                <w:color w:val="7DB655"/>
                <w:sz w:val="16"/>
              </w:rPr>
            </w:pPr>
            <w:r>
              <w:rPr>
                <w:rFonts w:ascii="Arial" w:hAnsi="Arial"/>
                <w:b/>
                <w:color w:val="7DB655"/>
                <w:sz w:val="16"/>
              </w:rPr>
              <w:t>$</w:t>
            </w:r>
          </w:p>
        </w:tc>
        <w:tc>
          <w:tcPr>
            <w:tcW w:w="740" w:type="dxa"/>
            <w:tcBorders>
              <w:bottom w:val="single" w:sz="6" w:space="0" w:color="7DB655"/>
            </w:tcBorders>
            <w:shd w:fill="EDEDED" w:val="clear"/>
            <w:tcMar>
              <w:bottom w:w="40" w:type="dxa"/>
            </w:tcMar>
            <w:vAlign w:val="center"/>
          </w:tcPr>
          <w:p>
            <w:pPr>
              <w:pStyle w:val="TableContents"/>
              <w:bidi w:val="0"/>
              <w:spacing w:lineRule="atLeast" w:line="220" w:before="0" w:after="0"/>
              <w:jc w:val="right"/>
              <w:rPr>
                <w:rFonts w:ascii="Arial" w:hAnsi="Arial"/>
                <w:b/>
                <w:color w:val="7DB655"/>
                <w:sz w:val="16"/>
              </w:rPr>
            </w:pPr>
            <w:r>
              <w:rPr>
                <w:rFonts w:ascii="Arial" w:hAnsi="Arial"/>
                <w:b/>
                <w:color w:val="7DB655"/>
                <w:sz w:val="16"/>
              </w:rPr>
              <w:t>2,759,107</w:t>
            </w:r>
          </w:p>
        </w:tc>
        <w:tc>
          <w:tcPr>
            <w:tcW w:w="60" w:type="dxa"/>
            <w:tcBorders>
              <w:bottom w:val="single" w:sz="6" w:space="0" w:color="7DB655"/>
            </w:tcBorders>
            <w:shd w:fill="EDEDED" w:val="clear"/>
            <w:tcMar>
              <w:bottom w:w="40" w:type="dxa"/>
            </w:tcMar>
            <w:vAlign w:val="center"/>
          </w:tcPr>
          <w:p>
            <w:pPr>
              <w:pStyle w:val="TableContents"/>
              <w:bidi w:val="0"/>
              <w:spacing w:lineRule="atLeast" w:line="220" w:before="0" w:after="0"/>
              <w:jc w:val="left"/>
              <w:rPr>
                <w:color w:val="7DB655"/>
              </w:rPr>
            </w:pPr>
            <w:r>
              <w:rPr>
                <w:color w:val="7DB655"/>
              </w:rPr>
              <w:t> </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10" w:type="dxa"/>
            <w:tcBorders>
              <w:bottom w:val="single" w:sz="6" w:space="0" w:color="7DB655"/>
            </w:tcBorders>
            <w:shd w:fill="EDEDED" w:val="clear"/>
            <w:tcMar>
              <w:bottom w:w="40" w:type="dxa"/>
            </w:tcMar>
            <w:vAlign w:val="center"/>
          </w:tcPr>
          <w:p>
            <w:pPr>
              <w:pStyle w:val="TableContents"/>
              <w:bidi w:val="0"/>
              <w:spacing w:lineRule="atLeast" w:line="220" w:before="0" w:after="0"/>
              <w:jc w:val="left"/>
              <w:rPr>
                <w:rFonts w:ascii="Arial" w:hAnsi="Arial"/>
                <w:b/>
                <w:color w:val="7DB655"/>
                <w:sz w:val="16"/>
              </w:rPr>
            </w:pPr>
            <w:r>
              <w:rPr>
                <w:rFonts w:ascii="Arial" w:hAnsi="Arial"/>
                <w:b/>
                <w:color w:val="7DB655"/>
                <w:sz w:val="16"/>
              </w:rPr>
              <w:t>$</w:t>
            </w:r>
          </w:p>
        </w:tc>
        <w:tc>
          <w:tcPr>
            <w:tcW w:w="740" w:type="dxa"/>
            <w:tcBorders>
              <w:bottom w:val="single" w:sz="6" w:space="0" w:color="7DB655"/>
            </w:tcBorders>
            <w:shd w:fill="EDEDED" w:val="clear"/>
            <w:tcMar>
              <w:bottom w:w="40" w:type="dxa"/>
            </w:tcMar>
            <w:vAlign w:val="center"/>
          </w:tcPr>
          <w:p>
            <w:pPr>
              <w:pStyle w:val="TableContents"/>
              <w:bidi w:val="0"/>
              <w:spacing w:lineRule="atLeast" w:line="220" w:before="0" w:after="0"/>
              <w:jc w:val="right"/>
              <w:rPr>
                <w:rFonts w:ascii="Arial" w:hAnsi="Arial"/>
                <w:b/>
                <w:color w:val="7DB655"/>
                <w:sz w:val="16"/>
              </w:rPr>
            </w:pPr>
            <w:r>
              <w:rPr>
                <w:rFonts w:ascii="Arial" w:hAnsi="Arial"/>
                <w:b/>
                <w:color w:val="7DB655"/>
                <w:sz w:val="16"/>
              </w:rPr>
              <w:t>2,462,593</w:t>
            </w:r>
          </w:p>
        </w:tc>
        <w:tc>
          <w:tcPr>
            <w:tcW w:w="75" w:type="dxa"/>
            <w:tcBorders>
              <w:bottom w:val="single" w:sz="6" w:space="0" w:color="7DB655"/>
            </w:tcBorders>
            <w:shd w:fill="EDEDED" w:val="clear"/>
            <w:tcMar>
              <w:bottom w:w="40" w:type="dxa"/>
            </w:tcMar>
            <w:vAlign w:val="center"/>
          </w:tcPr>
          <w:p>
            <w:pPr>
              <w:pStyle w:val="TableContents"/>
              <w:bidi w:val="0"/>
              <w:spacing w:lineRule="atLeast" w:line="220" w:before="0" w:after="0"/>
              <w:jc w:val="left"/>
              <w:rPr>
                <w:color w:val="7DB655"/>
              </w:rPr>
            </w:pPr>
            <w:r>
              <w:rPr>
                <w:color w:val="7DB655"/>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i/>
                <w:color w:val="191919"/>
              </w:rPr>
            </w:pPr>
            <w:r>
              <w:rPr>
                <w:i/>
                <w:color w:val="191919"/>
              </w:rPr>
              <w:t>(1)</w:t>
            </w:r>
          </w:p>
        </w:tc>
        <w:tc>
          <w:tcPr>
            <w:tcW w:w="990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Represents fees for the audit of our annual financial statements, internal controls and review of our quarterly financial statements, consents, and comfort letter.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i/>
                <w:color w:val="191919"/>
              </w:rPr>
            </w:pPr>
            <w:r>
              <w:rPr>
                <w:i/>
                <w:color w:val="191919"/>
              </w:rPr>
              <w:t>(2)</w:t>
            </w:r>
          </w:p>
        </w:tc>
        <w:tc>
          <w:tcPr>
            <w:tcW w:w="9931"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Represents professional services provided in connection with the audit of annual financial statements for the Shell &amp; Whitmore Reliability Solutions joint venture and stub-period audit in connection with the acquisition of Dusk Acquisition Corp (MARS Parts). </w:t>
            </w:r>
          </w:p>
        </w:tc>
      </w:tr>
    </w:tbl>
    <w:p>
      <w:pPr>
        <w:pStyle w:val="TextBody"/>
        <w:bidi w:val="0"/>
        <w:spacing w:before="240" w:after="0"/>
        <w:jc w:val="left"/>
        <w:rPr>
          <w:rFonts w:ascii="Arial" w:hAnsi="Arial"/>
          <w:color w:val="191919"/>
          <w:sz w:val="18"/>
        </w:rPr>
      </w:pPr>
      <w:r>
        <w:rPr>
          <w:rFonts w:ascii="Arial" w:hAnsi="Arial"/>
          <w:color w:val="191919"/>
          <w:sz w:val="18"/>
        </w:rPr>
        <w:t xml:space="preserve">The Audit Committee pre-approved all the audit and non-audit fees described above for the year ended March 31, 2026, in accordance with its approval policy discussed below. </w:t>
      </w:r>
    </w:p>
    <w:p>
      <w:pPr>
        <w:pStyle w:val="TextBody"/>
        <w:bidi w:val="0"/>
        <w:spacing w:before="360" w:after="0"/>
        <w:jc w:val="left"/>
        <w:rPr>
          <w:rFonts w:ascii="Arial" w:hAnsi="Arial"/>
          <w:b/>
          <w:color w:val="7DB655"/>
          <w:sz w:val="30"/>
        </w:rPr>
      </w:pPr>
      <w:bookmarkStart w:id="61" w:name="toc36145_36"/>
      <w:bookmarkEnd w:id="61"/>
      <w:r>
        <w:rPr>
          <w:rFonts w:ascii="Arial" w:hAnsi="Arial"/>
          <w:b/>
          <w:color w:val="7DB655"/>
          <w:sz w:val="30"/>
        </w:rPr>
        <w:t xml:space="preserve">Audit Committee Approval Policy </w:t>
      </w:r>
    </w:p>
    <w:p>
      <w:pPr>
        <w:pStyle w:val="TextBody"/>
        <w:bidi w:val="0"/>
        <w:spacing w:before="240" w:after="0"/>
        <w:jc w:val="left"/>
        <w:rPr>
          <w:rFonts w:ascii="Arial" w:hAnsi="Arial"/>
          <w:color w:val="191919"/>
          <w:sz w:val="18"/>
        </w:rPr>
      </w:pPr>
      <w:r>
        <w:rPr>
          <w:rFonts w:ascii="Arial" w:hAnsi="Arial"/>
          <w:color w:val="191919"/>
          <w:sz w:val="18"/>
        </w:rPr>
        <w:t xml:space="preserve">The Audit Committee approves all proposed services and related fees to be rendered by the Company’s independent registered public accounting firm before the firm is engaged. Services to be provided by the Company’s independent registered public accounting firm generally include audit services, audit-related services, and certain tax services. All fees for the annual audit or audit-related services to be performed by the Company’s independent registered public accounting firm are itemized for the purposes of approval. The Audit Committee approves the scope and timing of the external audit plan for the Company and focuses on any matters that may affect the scope of the audit or the independence of the Company’s independent registered public accounting firm. In that regard, the Audit Committee receives certain representations from the Company’s independent registered public accounting firm regarding their independence and the permissibility under the applicable laws and regulations of any services provided to the Company outside the scope of those otherwise allowed. </w:t>
      </w:r>
    </w:p>
    <w:p>
      <w:pPr>
        <w:pStyle w:val="TextBody"/>
        <w:bidi w:val="0"/>
        <w:spacing w:before="240" w:after="0"/>
        <w:jc w:val="left"/>
        <w:rPr>
          <w:rFonts w:ascii="Arial" w:hAnsi="Arial"/>
          <w:color w:val="191919"/>
          <w:sz w:val="18"/>
        </w:rPr>
      </w:pPr>
      <w:r>
        <w:rPr>
          <w:rFonts w:ascii="Arial" w:hAnsi="Arial"/>
          <w:color w:val="191919"/>
          <w:sz w:val="18"/>
        </w:rPr>
        <w:t xml:space="preserve">The Audit Committee may delegate its approval authority to the Chairman of the Audit Committee to the extent allowed by law. In the case of any delegation, the Chairman must disclose all approval determinations to the full Audit Committee as soon as possible after such determinations have been made.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8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40" descr=""/>
                          <pic:cNvPicPr>
                            <a:picLocks noChangeAspect="1" noChangeArrowheads="1"/>
                          </pic:cNvPicPr>
                        </pic:nvPicPr>
                        <pic:blipFill>
                          <a:blip r:embed="rId348"/>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62" w:name="toc36145_37"/>
      <w:bookmarkEnd w:id="62"/>
      <w:r>
        <w:rPr>
          <w:rFonts w:ascii="Arial" w:hAnsi="Arial"/>
          <w:b/>
          <w:color w:val="0A7DAC"/>
          <w:sz w:val="40"/>
        </w:rPr>
        <w:t xml:space="preserve">Beneficial Ownership of Common Stock </w:t>
      </w:r>
    </w:p>
    <w:p>
      <w:pPr>
        <w:pStyle w:val="TextBody"/>
        <w:bidi w:val="0"/>
        <w:spacing w:before="240" w:after="0"/>
        <w:jc w:val="left"/>
        <w:rPr>
          <w:rFonts w:ascii="Arial" w:hAnsi="Arial"/>
          <w:b/>
          <w:color w:val="7DB655"/>
          <w:sz w:val="30"/>
        </w:rPr>
      </w:pPr>
      <w:bookmarkStart w:id="63" w:name="toc36145_37a"/>
      <w:bookmarkEnd w:id="63"/>
      <w:r>
        <w:rPr>
          <w:rFonts w:ascii="Arial" w:hAnsi="Arial"/>
          <w:b/>
          <w:color w:val="7DB655"/>
          <w:sz w:val="30"/>
        </w:rPr>
        <w:t xml:space="preserve">Directors and Executive Officers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information regarding the beneficial ownership of our common stock as of the close of business on July 8, 2026 by (i) each of our directors and nominees for director, (ii) each named executive officer, and (iii) all current directors and executive officers as a group. </w:t>
      </w:r>
    </w:p>
    <w:p>
      <w:pPr>
        <w:pStyle w:val="TextBody"/>
        <w:bidi w:val="0"/>
        <w:spacing w:before="240" w:after="0"/>
        <w:jc w:val="left"/>
        <w:rPr>
          <w:rFonts w:ascii="Arial" w:hAnsi="Arial"/>
          <w:color w:val="191919"/>
          <w:sz w:val="18"/>
        </w:rPr>
      </w:pPr>
      <w:r>
        <w:rPr>
          <w:rFonts w:ascii="Arial" w:hAnsi="Arial"/>
          <w:color w:val="191919"/>
          <w:sz w:val="18"/>
        </w:rPr>
        <w:t>We determined beneficial ownership as reported in accordance with Rule 13d-3 under the Securities Exchange Act of 1934, as amended (the “</w:t>
      </w:r>
      <w:r>
        <w:rPr>
          <w:rFonts w:ascii="Arial" w:hAnsi="Arial"/>
          <w:i/>
          <w:color w:val="191919"/>
          <w:sz w:val="18"/>
        </w:rPr>
        <w:t>Exchange Act”</w:t>
      </w:r>
      <w:r>
        <w:rPr>
          <w:rFonts w:ascii="Arial" w:hAnsi="Arial"/>
          <w:color w:val="191919"/>
          <w:sz w:val="18"/>
        </w:rPr>
        <w:t>). Unless otherwise indicated, beneficial ownership includes both sole voting and sole dispositive power. Even though SEC rules require reporting all the shares listed in the table, the directors and executive officers may not claim beneficial ownership of all of these shares. For example, a director or executive officer might not claim beneficial ownership of shares owned by a relative. Unless otherwise indicated, the table does not include any shares that may be held by pension and profit-sharing plans of the corporations or endowment funds of educational and charitable institutions for which various directors and officers serve as directors or trustees.</w:t>
      </w:r>
    </w:p>
    <w:p>
      <w:pPr>
        <w:pStyle w:val="TextBody"/>
        <w:bidi w:val="0"/>
        <w:spacing w:before="0" w:after="0"/>
        <w:jc w:val="left"/>
        <w:rPr/>
      </w:pPr>
      <w:r>
        <w:rPr/>
        <w:t> </w:t>
      </w:r>
    </w:p>
    <w:tbl>
      <w:tblPr>
        <w:tblW w:w="7716" w:type="dxa"/>
        <w:jc w:val="left"/>
        <w:tblInd w:w="0" w:type="dxa"/>
        <w:tblLayout w:type="fixed"/>
        <w:tblCellMar>
          <w:top w:w="0" w:type="dxa"/>
          <w:left w:w="0" w:type="dxa"/>
          <w:bottom w:w="0" w:type="dxa"/>
          <w:right w:w="0" w:type="dxa"/>
        </w:tblCellMar>
      </w:tblPr>
      <w:tblGrid>
        <w:gridCol w:w="5315"/>
        <w:gridCol w:w="120"/>
        <w:gridCol w:w="83"/>
        <w:gridCol w:w="1107"/>
        <w:gridCol w:w="72"/>
        <w:gridCol w:w="144"/>
        <w:gridCol w:w="126"/>
        <w:gridCol w:w="674"/>
        <w:gridCol w:w="75"/>
      </w:tblGrid>
      <w:tr>
        <w:trPr/>
        <w:tc>
          <w:tcPr>
            <w:tcW w:w="5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color w:val="191919"/>
              </w:rPr>
            </w:pPr>
            <w:r>
              <w:rPr>
                <w:b/>
                <w:color w:val="191919"/>
              </w:rPr>
              <w:t>Amount and</w:t>
              <w:br/>
              <w:t>Nature of Common</w:t>
              <w:br/>
              <w:t>Stock Beneficially</w:t>
              <w:br/>
              <w:t>Owned</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Beneficial Owner</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19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Number of</w:t>
              <w:br/>
              <w:t>Shares</w:t>
              <w:br/>
              <w:t>Beneficially</w:t>
              <w:br/>
              <w:t>Owned(1)</w:t>
            </w:r>
          </w:p>
        </w:tc>
        <w:tc>
          <w:tcPr>
            <w:tcW w:w="72" w:type="dxa"/>
            <w:tcBorders>
              <w:bottom w:val="single" w:sz="56" w:space="0" w:color="7DB655"/>
            </w:tcBorders>
            <w:tcMar>
              <w:bottom w:w="28" w:type="dxa"/>
            </w:tcMar>
            <w:vAlign w:val="center"/>
          </w:tcPr>
          <w:p>
            <w:pPr>
              <w:pStyle w:val="TableContents"/>
              <w:bidi w:val="0"/>
              <w:spacing w:before="0" w:after="283"/>
              <w:jc w:val="left"/>
              <w:rPr/>
            </w:pPr>
            <w:r>
              <w:rPr/>
              <w:t> </w:t>
            </w:r>
          </w:p>
        </w:tc>
        <w:tc>
          <w:tcPr>
            <w:tcW w:w="144" w:type="dxa"/>
            <w:tcBorders>
              <w:bottom w:val="single" w:sz="56" w:space="0" w:color="7DB655"/>
            </w:tcBorders>
            <w:tcMar>
              <w:bottom w:w="28" w:type="dxa"/>
            </w:tcMar>
            <w:vAlign w:val="center"/>
          </w:tcPr>
          <w:p>
            <w:pPr>
              <w:pStyle w:val="TableContents"/>
              <w:bidi w:val="0"/>
              <w:spacing w:before="0" w:after="283"/>
              <w:jc w:val="left"/>
              <w:rPr/>
            </w:pPr>
            <w:r>
              <w:rPr/>
              <w:t>  </w:t>
            </w:r>
          </w:p>
        </w:tc>
        <w:tc>
          <w:tcPr>
            <w:tcW w:w="800" w:type="dxa"/>
            <w:gridSpan w:val="2"/>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Percent</w:t>
              <w:br/>
              <w:t>of</w:t>
              <w:br/>
              <w:t>Class</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b/>
                <w:i/>
                <w:color w:val="191919"/>
                <w:sz w:val="17"/>
              </w:rPr>
            </w:pPr>
            <w:r>
              <w:rPr>
                <w:rFonts w:ascii="Arial" w:hAnsi="Arial"/>
                <w:b/>
                <w:i/>
                <w:color w:val="191919"/>
                <w:sz w:val="17"/>
              </w:rPr>
              <w:t>Non-Employee Directors</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Darron K. Ash</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495</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Michael R. Gambrell</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22,113</w:t>
            </w:r>
          </w:p>
        </w:tc>
        <w:tc>
          <w:tcPr>
            <w:tcW w:w="72" w:type="dxa"/>
            <w:tcBorders/>
            <w:vAlign w:val="center"/>
          </w:tcPr>
          <w:p>
            <w:pPr>
              <w:pStyle w:val="TableContents"/>
              <w:bidi w:val="0"/>
              <w:spacing w:before="0" w:after="283"/>
              <w:jc w:val="left"/>
              <w:rPr>
                <w:color w:val="191919"/>
              </w:rPr>
            </w:pPr>
            <w:r>
              <w:rPr>
                <w:color w:val="191919"/>
              </w:rPr>
              <w:t> </w:t>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color w:val="191919"/>
              </w:rPr>
            </w:pPr>
            <w:r>
              <w:rPr>
                <w:color w:val="191919"/>
              </w:rPr>
              <w:t> </w:t>
            </w:r>
          </w:p>
        </w:tc>
        <w:tc>
          <w:tcPr>
            <w:tcW w:w="674" w:type="dxa"/>
            <w:tcBorders/>
            <w:vAlign w:val="center"/>
          </w:tcPr>
          <w:p>
            <w:pPr>
              <w:pStyle w:val="TableContents"/>
              <w:bidi w:val="0"/>
              <w:spacing w:before="0" w:after="283"/>
              <w:jc w:val="right"/>
              <w:rPr/>
            </w:pPr>
            <w:r>
              <w:rPr>
                <w:color w:val="191919"/>
              </w:rPr>
              <w:t>*</w:t>
            </w:r>
            <w:r>
              <w:rPr/>
              <w:t> </w:t>
            </w:r>
          </w:p>
        </w:tc>
        <w:tc>
          <w:tcPr>
            <w:tcW w:w="75" w:type="dxa"/>
            <w:tcBorders/>
            <w:vAlign w:val="center"/>
          </w:tcPr>
          <w:p>
            <w:pPr>
              <w:pStyle w:val="TableContents"/>
              <w:bidi w:val="0"/>
              <w:spacing w:before="0" w:after="283"/>
              <w:jc w:val="left"/>
              <w:rPr>
                <w:color w:val="191919"/>
              </w:rPr>
            </w:pPr>
            <w:r>
              <w:rPr>
                <w:color w:val="191919"/>
              </w:rPr>
              <w:t> </w:t>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Bobby Griffin</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2,943</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Terry L. Johnston</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9,987</w:t>
            </w:r>
          </w:p>
        </w:tc>
        <w:tc>
          <w:tcPr>
            <w:tcW w:w="72" w:type="dxa"/>
            <w:tcBorders/>
            <w:vAlign w:val="center"/>
          </w:tcPr>
          <w:p>
            <w:pPr>
              <w:pStyle w:val="TableContents"/>
              <w:bidi w:val="0"/>
              <w:spacing w:before="0" w:after="283"/>
              <w:jc w:val="left"/>
              <w:rPr>
                <w:color w:val="191919"/>
              </w:rPr>
            </w:pPr>
            <w:r>
              <w:rPr>
                <w:color w:val="191919"/>
              </w:rPr>
              <w:t> </w:t>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color w:val="191919"/>
              </w:rPr>
            </w:pPr>
            <w:r>
              <w:rPr>
                <w:color w:val="191919"/>
              </w:rPr>
              <w:t> </w:t>
            </w:r>
          </w:p>
        </w:tc>
        <w:tc>
          <w:tcPr>
            <w:tcW w:w="674" w:type="dxa"/>
            <w:tcBorders/>
            <w:vAlign w:val="center"/>
          </w:tcPr>
          <w:p>
            <w:pPr>
              <w:pStyle w:val="TableContents"/>
              <w:bidi w:val="0"/>
              <w:spacing w:before="0" w:after="283"/>
              <w:jc w:val="right"/>
              <w:rPr/>
            </w:pPr>
            <w:r>
              <w:rPr>
                <w:color w:val="191919"/>
              </w:rPr>
              <w:t>*</w:t>
            </w:r>
            <w:r>
              <w:rPr/>
              <w:t> </w:t>
            </w:r>
          </w:p>
        </w:tc>
        <w:tc>
          <w:tcPr>
            <w:tcW w:w="75" w:type="dxa"/>
            <w:tcBorders/>
            <w:vAlign w:val="center"/>
          </w:tcPr>
          <w:p>
            <w:pPr>
              <w:pStyle w:val="TableContents"/>
              <w:bidi w:val="0"/>
              <w:spacing w:before="0" w:after="283"/>
              <w:jc w:val="left"/>
              <w:rPr>
                <w:color w:val="191919"/>
              </w:rPr>
            </w:pPr>
            <w:r>
              <w:rPr>
                <w:color w:val="191919"/>
              </w:rPr>
              <w:t> </w:t>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Linda A. Livingstone</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12,283</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Anne B. Motsenbocker</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2,245</w:t>
            </w:r>
          </w:p>
        </w:tc>
        <w:tc>
          <w:tcPr>
            <w:tcW w:w="72" w:type="dxa"/>
            <w:tcBorders/>
            <w:vAlign w:val="center"/>
          </w:tcPr>
          <w:p>
            <w:pPr>
              <w:pStyle w:val="TableContents"/>
              <w:bidi w:val="0"/>
              <w:spacing w:before="0" w:after="283"/>
              <w:jc w:val="left"/>
              <w:rPr>
                <w:color w:val="191919"/>
              </w:rPr>
            </w:pPr>
            <w:r>
              <w:rPr>
                <w:color w:val="191919"/>
              </w:rPr>
              <w:t> </w:t>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color w:val="191919"/>
              </w:rPr>
            </w:pPr>
            <w:r>
              <w:rPr>
                <w:color w:val="191919"/>
              </w:rPr>
              <w:t> </w:t>
            </w:r>
          </w:p>
        </w:tc>
        <w:tc>
          <w:tcPr>
            <w:tcW w:w="674" w:type="dxa"/>
            <w:tcBorders/>
            <w:vAlign w:val="center"/>
          </w:tcPr>
          <w:p>
            <w:pPr>
              <w:pStyle w:val="TableContents"/>
              <w:bidi w:val="0"/>
              <w:spacing w:before="0" w:after="283"/>
              <w:jc w:val="right"/>
              <w:rPr/>
            </w:pPr>
            <w:r>
              <w:rPr>
                <w:color w:val="191919"/>
              </w:rPr>
              <w:t>*</w:t>
            </w:r>
            <w:r>
              <w:rPr/>
              <w:t> </w:t>
            </w:r>
          </w:p>
        </w:tc>
        <w:tc>
          <w:tcPr>
            <w:tcW w:w="75" w:type="dxa"/>
            <w:tcBorders/>
            <w:vAlign w:val="center"/>
          </w:tcPr>
          <w:p>
            <w:pPr>
              <w:pStyle w:val="TableContents"/>
              <w:bidi w:val="0"/>
              <w:spacing w:before="0" w:after="283"/>
              <w:jc w:val="left"/>
              <w:rPr>
                <w:color w:val="191919"/>
              </w:rPr>
            </w:pPr>
            <w:r>
              <w:rPr>
                <w:color w:val="191919"/>
              </w:rPr>
              <w:t> </w:t>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J. Kent Sweezey</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10,098</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b/>
                <w:i/>
                <w:color w:val="191919"/>
                <w:sz w:val="17"/>
              </w:rPr>
            </w:pPr>
            <w:r>
              <w:rPr>
                <w:rFonts w:ascii="Arial" w:hAnsi="Arial"/>
                <w:b/>
                <w:i/>
                <w:color w:val="191919"/>
                <w:sz w:val="17"/>
              </w:rPr>
              <w:t>Named Executive Officers</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Joseph B. Armes</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72,409</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James E. Perry</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28,354</w:t>
            </w:r>
          </w:p>
        </w:tc>
        <w:tc>
          <w:tcPr>
            <w:tcW w:w="72" w:type="dxa"/>
            <w:tcBorders/>
            <w:vAlign w:val="center"/>
          </w:tcPr>
          <w:p>
            <w:pPr>
              <w:pStyle w:val="TableContents"/>
              <w:bidi w:val="0"/>
              <w:spacing w:before="0" w:after="283"/>
              <w:jc w:val="left"/>
              <w:rPr>
                <w:color w:val="191919"/>
              </w:rPr>
            </w:pPr>
            <w:r>
              <w:rPr>
                <w:color w:val="191919"/>
              </w:rPr>
              <w:t> </w:t>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color w:val="191919"/>
              </w:rPr>
            </w:pPr>
            <w:r>
              <w:rPr>
                <w:color w:val="191919"/>
              </w:rPr>
              <w:t> </w:t>
            </w:r>
          </w:p>
        </w:tc>
        <w:tc>
          <w:tcPr>
            <w:tcW w:w="674" w:type="dxa"/>
            <w:tcBorders/>
            <w:vAlign w:val="center"/>
          </w:tcPr>
          <w:p>
            <w:pPr>
              <w:pStyle w:val="TableContents"/>
              <w:bidi w:val="0"/>
              <w:spacing w:before="0" w:after="283"/>
              <w:jc w:val="right"/>
              <w:rPr/>
            </w:pPr>
            <w:r>
              <w:rPr>
                <w:color w:val="191919"/>
              </w:rPr>
              <w:t>*</w:t>
            </w:r>
            <w:r>
              <w:rPr/>
              <w:t> </w:t>
            </w:r>
          </w:p>
        </w:tc>
        <w:tc>
          <w:tcPr>
            <w:tcW w:w="75" w:type="dxa"/>
            <w:tcBorders/>
            <w:vAlign w:val="center"/>
          </w:tcPr>
          <w:p>
            <w:pPr>
              <w:pStyle w:val="TableContents"/>
              <w:bidi w:val="0"/>
              <w:spacing w:before="0" w:after="283"/>
              <w:jc w:val="left"/>
              <w:rPr>
                <w:color w:val="191919"/>
              </w:rPr>
            </w:pPr>
            <w:r>
              <w:rPr>
                <w:color w:val="191919"/>
              </w:rPr>
              <w:t> </w:t>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Jeff A. Underwood</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8,215</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color w:val="191919"/>
                <w:sz w:val="17"/>
              </w:rPr>
            </w:pPr>
            <w:r>
              <w:rPr>
                <w:rFonts w:ascii="Arial" w:hAnsi="Arial"/>
                <w:color w:val="191919"/>
                <w:sz w:val="17"/>
              </w:rPr>
              <w:t>Luke E. Alverson</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color w:val="191919"/>
              </w:rPr>
            </w:pPr>
            <w:r>
              <w:rPr>
                <w:color w:val="191919"/>
              </w:rPr>
              <w:t> </w:t>
            </w:r>
          </w:p>
        </w:tc>
        <w:tc>
          <w:tcPr>
            <w:tcW w:w="1107" w:type="dxa"/>
            <w:tcBorders/>
            <w:vAlign w:val="center"/>
          </w:tcPr>
          <w:p>
            <w:pPr>
              <w:pStyle w:val="TableContents"/>
              <w:bidi w:val="0"/>
              <w:spacing w:before="0" w:after="283"/>
              <w:jc w:val="right"/>
              <w:rPr>
                <w:color w:val="191919"/>
              </w:rPr>
            </w:pPr>
            <w:r>
              <w:rPr>
                <w:color w:val="191919"/>
              </w:rPr>
              <w:t>14,410</w:t>
            </w:r>
          </w:p>
        </w:tc>
        <w:tc>
          <w:tcPr>
            <w:tcW w:w="72" w:type="dxa"/>
            <w:tcBorders/>
            <w:vAlign w:val="center"/>
          </w:tcPr>
          <w:p>
            <w:pPr>
              <w:pStyle w:val="TableContents"/>
              <w:bidi w:val="0"/>
              <w:spacing w:before="0" w:after="283"/>
              <w:jc w:val="left"/>
              <w:rPr>
                <w:color w:val="191919"/>
              </w:rPr>
            </w:pPr>
            <w:r>
              <w:rPr>
                <w:color w:val="191919"/>
              </w:rPr>
              <w:t> </w:t>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color w:val="191919"/>
              </w:rPr>
            </w:pPr>
            <w:r>
              <w:rPr>
                <w:color w:val="191919"/>
              </w:rPr>
              <w:t> </w:t>
            </w:r>
          </w:p>
        </w:tc>
        <w:tc>
          <w:tcPr>
            <w:tcW w:w="674" w:type="dxa"/>
            <w:tcBorders/>
            <w:vAlign w:val="center"/>
          </w:tcPr>
          <w:p>
            <w:pPr>
              <w:pStyle w:val="TableContents"/>
              <w:bidi w:val="0"/>
              <w:spacing w:before="0" w:after="283"/>
              <w:jc w:val="right"/>
              <w:rPr/>
            </w:pPr>
            <w:r>
              <w:rPr>
                <w:color w:val="191919"/>
              </w:rPr>
              <w:t>*</w:t>
            </w:r>
            <w:r>
              <w:rPr/>
              <w:t> </w:t>
            </w:r>
          </w:p>
        </w:tc>
        <w:tc>
          <w:tcPr>
            <w:tcW w:w="75" w:type="dxa"/>
            <w:tcBorders/>
            <w:vAlign w:val="center"/>
          </w:tcPr>
          <w:p>
            <w:pPr>
              <w:pStyle w:val="TableContents"/>
              <w:bidi w:val="0"/>
              <w:spacing w:before="0" w:after="283"/>
              <w:jc w:val="left"/>
              <w:rPr>
                <w:color w:val="191919"/>
              </w:rPr>
            </w:pPr>
            <w:r>
              <w:rPr>
                <w:color w:val="191919"/>
              </w:rPr>
              <w:t> </w:t>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0"/>
              <w:jc w:val="left"/>
              <w:rPr>
                <w:rFonts w:ascii="Arial" w:hAnsi="Arial"/>
                <w:color w:val="191919"/>
                <w:sz w:val="17"/>
              </w:rPr>
            </w:pPr>
            <w:r>
              <w:rPr>
                <w:rFonts w:ascii="Arial" w:hAnsi="Arial"/>
                <w:color w:val="191919"/>
                <w:sz w:val="17"/>
              </w:rPr>
              <w:t>Danielle R. Garde</w:t>
            </w:r>
          </w:p>
        </w:tc>
        <w:tc>
          <w:tcPr>
            <w:tcW w:w="120" w:type="dxa"/>
            <w:tcBorders/>
            <w:shd w:fill="EDEDED" w:val="clear"/>
            <w:vAlign w:val="center"/>
          </w:tcPr>
          <w:p>
            <w:pPr>
              <w:pStyle w:val="TableContents"/>
              <w:bidi w:val="0"/>
              <w:spacing w:before="0" w:after="283"/>
              <w:jc w:val="left"/>
              <w:rPr/>
            </w:pPr>
            <w:r>
              <w:rPr/>
              <w:t>  </w:t>
            </w:r>
          </w:p>
        </w:tc>
        <w:tc>
          <w:tcPr>
            <w:tcW w:w="83" w:type="dxa"/>
            <w:tcBorders/>
            <w:shd w:fill="EDEDED" w:val="clear"/>
            <w:vAlign w:val="center"/>
          </w:tcPr>
          <w:p>
            <w:pPr>
              <w:pStyle w:val="TableContents"/>
              <w:bidi w:val="0"/>
              <w:spacing w:before="0" w:after="283"/>
              <w:jc w:val="left"/>
              <w:rPr>
                <w:color w:val="191919"/>
              </w:rPr>
            </w:pPr>
            <w:r>
              <w:rPr>
                <w:color w:val="191919"/>
              </w:rPr>
              <w:t> </w:t>
            </w:r>
          </w:p>
        </w:tc>
        <w:tc>
          <w:tcPr>
            <w:tcW w:w="1107" w:type="dxa"/>
            <w:tcBorders/>
            <w:shd w:fill="EDEDED" w:val="clear"/>
            <w:vAlign w:val="center"/>
          </w:tcPr>
          <w:p>
            <w:pPr>
              <w:pStyle w:val="TableContents"/>
              <w:bidi w:val="0"/>
              <w:spacing w:before="0" w:after="283"/>
              <w:jc w:val="right"/>
              <w:rPr>
                <w:color w:val="191919"/>
              </w:rPr>
            </w:pPr>
            <w:r>
              <w:rPr>
                <w:color w:val="191919"/>
              </w:rPr>
              <w:t>5,929</w:t>
            </w:r>
          </w:p>
        </w:tc>
        <w:tc>
          <w:tcPr>
            <w:tcW w:w="72" w:type="dxa"/>
            <w:tcBorders/>
            <w:shd w:fill="EDEDED" w:val="clear"/>
            <w:vAlign w:val="center"/>
          </w:tcPr>
          <w:p>
            <w:pPr>
              <w:pStyle w:val="TableContents"/>
              <w:bidi w:val="0"/>
              <w:spacing w:before="0" w:after="283"/>
              <w:jc w:val="left"/>
              <w:rPr>
                <w:color w:val="191919"/>
              </w:rPr>
            </w:pPr>
            <w:r>
              <w:rPr>
                <w:color w:val="191919"/>
              </w:rPr>
              <w:t> </w:t>
            </w:r>
          </w:p>
        </w:tc>
        <w:tc>
          <w:tcPr>
            <w:tcW w:w="144" w:type="dxa"/>
            <w:tcBorders/>
            <w:shd w:fill="EDEDED" w:val="clear"/>
            <w:vAlign w:val="center"/>
          </w:tcPr>
          <w:p>
            <w:pPr>
              <w:pStyle w:val="TableContents"/>
              <w:bidi w:val="0"/>
              <w:spacing w:before="0" w:after="283"/>
              <w:jc w:val="left"/>
              <w:rPr/>
            </w:pPr>
            <w:r>
              <w:rPr/>
              <w:t>  </w:t>
            </w:r>
          </w:p>
        </w:tc>
        <w:tc>
          <w:tcPr>
            <w:tcW w:w="126" w:type="dxa"/>
            <w:tcBorders/>
            <w:shd w:fill="EDEDED" w:val="clear"/>
            <w:vAlign w:val="center"/>
          </w:tcPr>
          <w:p>
            <w:pPr>
              <w:pStyle w:val="TableContents"/>
              <w:bidi w:val="0"/>
              <w:spacing w:before="0" w:after="283"/>
              <w:jc w:val="left"/>
              <w:rPr>
                <w:color w:val="191919"/>
              </w:rPr>
            </w:pPr>
            <w:r>
              <w:rPr>
                <w:color w:val="191919"/>
              </w:rPr>
              <w:t> </w:t>
            </w:r>
          </w:p>
        </w:tc>
        <w:tc>
          <w:tcPr>
            <w:tcW w:w="674" w:type="dxa"/>
            <w:tcBorders/>
            <w:shd w:fill="EDEDED" w:val="clear"/>
            <w:vAlign w:val="center"/>
          </w:tcPr>
          <w:p>
            <w:pPr>
              <w:pStyle w:val="TableContents"/>
              <w:bidi w:val="0"/>
              <w:spacing w:before="0" w:after="283"/>
              <w:jc w:val="right"/>
              <w:rPr/>
            </w:pPr>
            <w:r>
              <w:rPr>
                <w:color w:val="191919"/>
              </w:rPr>
              <w:t>*</w:t>
            </w:r>
            <w:r>
              <w:rPr/>
              <w:t> </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5315" w:type="dxa"/>
            <w:tcBorders/>
            <w:vAlign w:val="center"/>
          </w:tcPr>
          <w:p>
            <w:pPr>
              <w:pStyle w:val="TableContents"/>
              <w:bidi w:val="0"/>
              <w:spacing w:before="0" w:after="283"/>
              <w:jc w:val="left"/>
              <w:rPr>
                <w:sz w:val="4"/>
                <w:szCs w:val="4"/>
              </w:rPr>
            </w:pPr>
            <w:r>
              <w:rPr>
                <w:sz w:val="4"/>
                <w:szCs w:val="4"/>
              </w:rPr>
            </w:r>
          </w:p>
        </w:tc>
        <w:tc>
          <w:tcPr>
            <w:tcW w:w="1382" w:type="dxa"/>
            <w:gridSpan w:val="4"/>
            <w:tcBorders/>
            <w:vAlign w:val="center"/>
          </w:tcPr>
          <w:p>
            <w:pPr>
              <w:pStyle w:val="TableContents"/>
              <w:bidi w:val="0"/>
              <w:spacing w:before="0" w:after="283"/>
              <w:jc w:val="left"/>
              <w:rPr>
                <w:sz w:val="4"/>
                <w:szCs w:val="4"/>
              </w:rPr>
            </w:pPr>
            <w:r>
              <w:rPr>
                <w:sz w:val="4"/>
                <w:szCs w:val="4"/>
              </w:rPr>
            </w:r>
          </w:p>
        </w:tc>
        <w:tc>
          <w:tcPr>
            <w:tcW w:w="1019" w:type="dxa"/>
            <w:gridSpan w:val="4"/>
            <w:tcBorders/>
            <w:vAlign w:val="center"/>
          </w:tcPr>
          <w:p>
            <w:pPr>
              <w:pStyle w:val="TableContents"/>
              <w:bidi w:val="0"/>
              <w:spacing w:before="0" w:after="283"/>
              <w:jc w:val="left"/>
              <w:rPr>
                <w:sz w:val="4"/>
                <w:szCs w:val="4"/>
              </w:rPr>
            </w:pPr>
            <w:r>
              <w:rPr>
                <w:sz w:val="4"/>
                <w:szCs w:val="4"/>
              </w:rPr>
            </w:r>
          </w:p>
        </w:tc>
      </w:tr>
      <w:tr>
        <w:trPr/>
        <w:tc>
          <w:tcPr>
            <w:tcW w:w="5315" w:type="dxa"/>
            <w:tcBorders/>
            <w:vAlign w:val="center"/>
          </w:tcPr>
          <w:p>
            <w:pPr>
              <w:pStyle w:val="TableContents"/>
              <w:bidi w:val="0"/>
              <w:spacing w:before="0" w:after="0"/>
              <w:jc w:val="left"/>
              <w:rPr>
                <w:rFonts w:ascii="Arial" w:hAnsi="Arial"/>
                <w:b/>
                <w:i/>
                <w:color w:val="191919"/>
                <w:sz w:val="17"/>
              </w:rPr>
            </w:pPr>
            <w:r>
              <w:rPr>
                <w:rFonts w:ascii="Arial" w:hAnsi="Arial"/>
                <w:b/>
                <w:i/>
                <w:color w:val="191919"/>
                <w:sz w:val="17"/>
              </w:rPr>
              <w:t>Group</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15" w:type="dxa"/>
            <w:tcBorders/>
            <w:shd w:fill="EDEDED" w:val="clear"/>
            <w:vAlign w:val="center"/>
          </w:tcPr>
          <w:p>
            <w:pPr>
              <w:pStyle w:val="TableContents"/>
              <w:bidi w:val="0"/>
              <w:spacing w:before="0" w:after="283"/>
              <w:jc w:val="left"/>
              <w:rPr>
                <w:sz w:val="4"/>
                <w:szCs w:val="4"/>
              </w:rPr>
            </w:pPr>
            <w:r>
              <w:rPr>
                <w:sz w:val="4"/>
                <w:szCs w:val="4"/>
              </w:rPr>
            </w:r>
          </w:p>
        </w:tc>
        <w:tc>
          <w:tcPr>
            <w:tcW w:w="1382" w:type="dxa"/>
            <w:gridSpan w:val="4"/>
            <w:tcBorders/>
            <w:shd w:fill="EDEDED" w:val="clear"/>
            <w:vAlign w:val="center"/>
          </w:tcPr>
          <w:p>
            <w:pPr>
              <w:pStyle w:val="TableContents"/>
              <w:bidi w:val="0"/>
              <w:spacing w:before="0" w:after="283"/>
              <w:jc w:val="left"/>
              <w:rPr>
                <w:sz w:val="4"/>
                <w:szCs w:val="4"/>
              </w:rPr>
            </w:pPr>
            <w:r>
              <w:rPr>
                <w:sz w:val="4"/>
                <w:szCs w:val="4"/>
              </w:rPr>
            </w:r>
          </w:p>
        </w:tc>
        <w:tc>
          <w:tcPr>
            <w:tcW w:w="1019"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315" w:type="dxa"/>
            <w:tcBorders>
              <w:bottom w:val="single" w:sz="6" w:space="0" w:color="7DB655"/>
            </w:tcBorders>
            <w:shd w:fill="EDEDED" w:val="clear"/>
            <w:tcMar>
              <w:bottom w:w="80" w:type="dxa"/>
            </w:tcMar>
            <w:vAlign w:val="center"/>
          </w:tcPr>
          <w:p>
            <w:pPr>
              <w:pStyle w:val="TableContents"/>
              <w:bidi w:val="0"/>
              <w:spacing w:before="0" w:after="0"/>
              <w:jc w:val="left"/>
              <w:rPr>
                <w:rFonts w:ascii="Arial" w:hAnsi="Arial"/>
                <w:b/>
                <w:color w:val="7DB655"/>
                <w:sz w:val="17"/>
              </w:rPr>
            </w:pPr>
            <w:r>
              <w:rPr>
                <w:rFonts w:ascii="Arial" w:hAnsi="Arial"/>
                <w:b/>
                <w:color w:val="7DB655"/>
                <w:sz w:val="17"/>
              </w:rPr>
              <w:t>All directors and current executive officers (12 persons) as a group</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83" w:type="dxa"/>
            <w:tcBorders>
              <w:bottom w:val="single" w:sz="6" w:space="0" w:color="7DB655"/>
            </w:tcBorders>
            <w:shd w:fill="EDEDED" w:val="clear"/>
            <w:tcMar>
              <w:bottom w:w="80" w:type="dxa"/>
            </w:tcMar>
            <w:vAlign w:val="center"/>
          </w:tcPr>
          <w:p>
            <w:pPr>
              <w:pStyle w:val="TableContents"/>
              <w:bidi w:val="0"/>
              <w:spacing w:before="0" w:after="283"/>
              <w:jc w:val="left"/>
              <w:rPr>
                <w:color w:val="7DB655"/>
              </w:rPr>
            </w:pPr>
            <w:r>
              <w:rPr>
                <w:color w:val="7DB655"/>
              </w:rPr>
              <w:t> </w:t>
            </w:r>
          </w:p>
        </w:tc>
        <w:tc>
          <w:tcPr>
            <w:tcW w:w="1107" w:type="dxa"/>
            <w:tcBorders>
              <w:bottom w:val="single" w:sz="6" w:space="0" w:color="7DB655"/>
            </w:tcBorders>
            <w:shd w:fill="EDEDED" w:val="clear"/>
            <w:tcMar>
              <w:bottom w:w="80" w:type="dxa"/>
            </w:tcMar>
            <w:vAlign w:val="center"/>
          </w:tcPr>
          <w:p>
            <w:pPr>
              <w:pStyle w:val="TableContents"/>
              <w:bidi w:val="0"/>
              <w:spacing w:before="0" w:after="283"/>
              <w:jc w:val="right"/>
              <w:rPr>
                <w:b/>
                <w:color w:val="7DB655"/>
              </w:rPr>
            </w:pPr>
            <w:r>
              <w:rPr>
                <w:b/>
                <w:color w:val="7DB655"/>
              </w:rPr>
              <w:t>189,481</w:t>
            </w:r>
          </w:p>
        </w:tc>
        <w:tc>
          <w:tcPr>
            <w:tcW w:w="72" w:type="dxa"/>
            <w:tcBorders>
              <w:bottom w:val="single" w:sz="6" w:space="0" w:color="7DB655"/>
            </w:tcBorders>
            <w:shd w:fill="EDEDED" w:val="clear"/>
            <w:tcMar>
              <w:bottom w:w="80" w:type="dxa"/>
            </w:tcMar>
            <w:vAlign w:val="center"/>
          </w:tcPr>
          <w:p>
            <w:pPr>
              <w:pStyle w:val="TableContents"/>
              <w:bidi w:val="0"/>
              <w:spacing w:before="0" w:after="283"/>
              <w:jc w:val="left"/>
              <w:rPr>
                <w:color w:val="7DB655"/>
              </w:rPr>
            </w:pPr>
            <w:r>
              <w:rPr>
                <w:color w:val="7DB655"/>
              </w:rPr>
              <w:t> </w:t>
            </w:r>
          </w:p>
        </w:tc>
        <w:tc>
          <w:tcPr>
            <w:tcW w:w="144"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26" w:type="dxa"/>
            <w:tcBorders>
              <w:bottom w:val="single" w:sz="6" w:space="0" w:color="7DB655"/>
            </w:tcBorders>
            <w:shd w:fill="EDEDED" w:val="clear"/>
            <w:tcMar>
              <w:bottom w:w="80" w:type="dxa"/>
            </w:tcMar>
            <w:vAlign w:val="center"/>
          </w:tcPr>
          <w:p>
            <w:pPr>
              <w:pStyle w:val="TableContents"/>
              <w:bidi w:val="0"/>
              <w:spacing w:before="0" w:after="283"/>
              <w:jc w:val="left"/>
              <w:rPr>
                <w:color w:val="7DB655"/>
              </w:rPr>
            </w:pPr>
            <w:r>
              <w:rPr>
                <w:color w:val="7DB655"/>
              </w:rPr>
              <w:t> </w:t>
            </w:r>
          </w:p>
        </w:tc>
        <w:tc>
          <w:tcPr>
            <w:tcW w:w="674" w:type="dxa"/>
            <w:tcBorders>
              <w:bottom w:val="single" w:sz="6" w:space="0" w:color="7DB655"/>
            </w:tcBorders>
            <w:shd w:fill="EDEDED" w:val="clear"/>
            <w:tcMar>
              <w:bottom w:w="80" w:type="dxa"/>
            </w:tcMar>
            <w:vAlign w:val="center"/>
          </w:tcPr>
          <w:p>
            <w:pPr>
              <w:pStyle w:val="TableContents"/>
              <w:bidi w:val="0"/>
              <w:spacing w:before="0" w:after="283"/>
              <w:jc w:val="right"/>
              <w:rPr>
                <w:b/>
                <w:color w:val="7DB655"/>
              </w:rPr>
            </w:pPr>
            <w:r>
              <w:rPr>
                <w:b/>
                <w:color w:val="7DB655"/>
              </w:rPr>
              <w:t>1.2%</w:t>
            </w:r>
          </w:p>
        </w:tc>
        <w:tc>
          <w:tcPr>
            <w:tcW w:w="75" w:type="dxa"/>
            <w:tcBorders>
              <w:bottom w:val="single" w:sz="6" w:space="0" w:color="7DB655"/>
            </w:tcBorders>
            <w:shd w:fill="EDEDED" w:val="clear"/>
            <w:tcMar>
              <w:bottom w:w="80" w:type="dxa"/>
            </w:tcMar>
            <w:vAlign w:val="center"/>
          </w:tcPr>
          <w:p>
            <w:pPr>
              <w:pStyle w:val="TableContents"/>
              <w:bidi w:val="0"/>
              <w:spacing w:before="0" w:after="283"/>
              <w:jc w:val="left"/>
              <w:rPr>
                <w:color w:val="7DB655"/>
              </w:rPr>
            </w:pPr>
            <w:r>
              <w:rPr>
                <w:color w:val="7DB655"/>
              </w:rPr>
              <w:t>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155"/>
        <w:gridCol w:w="6815"/>
      </w:tblGrid>
      <w:tr>
        <w:trPr/>
        <w:tc>
          <w:tcPr>
            <w:tcW w:w="155" w:type="dxa"/>
            <w:tcBorders/>
            <w:vAlign w:val="center"/>
          </w:tcPr>
          <w:p>
            <w:pPr>
              <w:pStyle w:val="TableContents"/>
              <w:bidi w:val="0"/>
              <w:spacing w:before="0" w:after="283"/>
              <w:jc w:val="left"/>
              <w:rPr>
                <w:i/>
                <w:color w:val="191919"/>
              </w:rPr>
            </w:pPr>
            <w:r>
              <w:rPr>
                <w:i/>
                <w:color w:val="191919"/>
              </w:rPr>
              <w:t>*</w:t>
            </w:r>
          </w:p>
        </w:tc>
        <w:tc>
          <w:tcPr>
            <w:tcW w:w="6815"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Less than one percent based on a total of 16,296,266 shares of common stock outstanding on July 8, 2026.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305"/>
        <w:gridCol w:w="8000"/>
      </w:tblGrid>
      <w:tr>
        <w:trPr/>
        <w:tc>
          <w:tcPr>
            <w:tcW w:w="305" w:type="dxa"/>
            <w:tcBorders/>
            <w:vAlign w:val="center"/>
          </w:tcPr>
          <w:p>
            <w:pPr>
              <w:pStyle w:val="TableContents"/>
              <w:bidi w:val="0"/>
              <w:spacing w:before="0" w:after="283"/>
              <w:jc w:val="left"/>
              <w:rPr>
                <w:i/>
                <w:color w:val="191919"/>
              </w:rPr>
            </w:pPr>
            <w:r>
              <w:rPr>
                <w:i/>
                <w:color w:val="191919"/>
              </w:rPr>
              <w:t>(1)</w:t>
            </w:r>
          </w:p>
        </w:tc>
        <w:tc>
          <w:tcPr>
            <w:tcW w:w="800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No shares of our common stock were owned by relatives of our directors, NEOs, or directors and executive officers as a group. </w:t>
            </w:r>
          </w:p>
        </w:tc>
      </w:tr>
    </w:tbl>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8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41" descr=""/>
                          <pic:cNvPicPr>
                            <a:picLocks noChangeAspect="1" noChangeArrowheads="1"/>
                          </pic:cNvPicPr>
                        </pic:nvPicPr>
                        <pic:blipFill>
                          <a:blip r:embed="rId349"/>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73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Beneficial Ownership of Common Stock </w:t>
      </w:r>
    </w:p>
    <w:p>
      <w:pPr>
        <w:pStyle w:val="TextBody"/>
        <w:bidi w:val="0"/>
        <w:spacing w:before="0" w:after="0"/>
        <w:jc w:val="left"/>
        <w:rPr>
          <w:rFonts w:ascii="Arial" w:hAnsi="Arial"/>
          <w:sz w:val="16"/>
        </w:rPr>
      </w:pPr>
      <w:r>
        <w:rPr>
          <w:rFonts w:ascii="Arial" w:hAnsi="Arial"/>
          <w:sz w:val="16"/>
        </w:rPr>
        <w:t xml:space="preserve">Certain Other Beneficial Owners </w:t>
      </w:r>
    </w:p>
    <w:p>
      <w:pPr>
        <w:pStyle w:val="TextBody"/>
        <w:bidi w:val="0"/>
        <w:spacing w:before="0" w:after="0"/>
        <w:jc w:val="left"/>
        <w:rPr/>
      </w:pPr>
      <w:r>
        <w:rPr/>
        <w:t> </w:t>
      </w:r>
    </w:p>
    <w:p>
      <w:pPr>
        <w:pStyle w:val="TextBody"/>
        <w:bidi w:val="0"/>
        <w:spacing w:before="0" w:after="0"/>
        <w:jc w:val="left"/>
        <w:rPr>
          <w:rFonts w:ascii="Arial" w:hAnsi="Arial"/>
          <w:b/>
          <w:color w:val="7DB655"/>
          <w:sz w:val="30"/>
        </w:rPr>
      </w:pPr>
      <w:bookmarkStart w:id="64" w:name="toc36145_38"/>
      <w:bookmarkEnd w:id="64"/>
      <w:r>
        <w:rPr>
          <w:rFonts w:ascii="Arial" w:hAnsi="Arial"/>
          <w:b/>
          <w:color w:val="7DB655"/>
          <w:sz w:val="30"/>
        </w:rPr>
        <w:t xml:space="preserve">Certain Other Beneficial Owners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sets forth information regarding each person or group of persons known by the Company to beneficially own more than 5% of the Company’s common stock as of the Record Date. Except as otherwise indicated, the information is based solely upon information contained in Schedule 13G and Schedule 13G/A filings made with the SEC. </w:t>
      </w:r>
    </w:p>
    <w:p>
      <w:pPr>
        <w:pStyle w:val="TextBody"/>
        <w:bidi w:val="0"/>
        <w:spacing w:before="240" w:after="0"/>
        <w:jc w:val="left"/>
        <w:rPr>
          <w:rFonts w:ascii="Arial" w:hAnsi="Arial"/>
          <w:color w:val="191919"/>
          <w:sz w:val="18"/>
        </w:rPr>
      </w:pPr>
      <w:r>
        <w:rPr>
          <w:rFonts w:ascii="Arial" w:hAnsi="Arial"/>
          <w:color w:val="191919"/>
          <w:sz w:val="18"/>
        </w:rPr>
        <w:t xml:space="preserve">As of June 30, 2026, Fidelity, as trustee of the Company’s ESOP, held approximately 430,000 shares of the Company’s common stock, representing approximately 2.5% of the Company’s outstanding common stock as of the Record Date. </w:t>
      </w:r>
    </w:p>
    <w:p>
      <w:pPr>
        <w:pStyle w:val="TextBody"/>
        <w:bidi w:val="0"/>
        <w:spacing w:before="0" w:after="0"/>
        <w:jc w:val="left"/>
        <w:rPr/>
      </w:pPr>
      <w:r>
        <w:rPr/>
        <w:t> </w:t>
      </w:r>
    </w:p>
    <w:tbl>
      <w:tblPr>
        <w:tblW w:w="8636" w:type="dxa"/>
        <w:jc w:val="left"/>
        <w:tblInd w:w="0" w:type="dxa"/>
        <w:tblLayout w:type="fixed"/>
        <w:tblCellMar>
          <w:top w:w="0" w:type="dxa"/>
          <w:left w:w="0" w:type="dxa"/>
          <w:bottom w:w="0" w:type="dxa"/>
          <w:right w:w="0" w:type="dxa"/>
        </w:tblCellMar>
      </w:tblPr>
      <w:tblGrid>
        <w:gridCol w:w="4070"/>
        <w:gridCol w:w="120"/>
        <w:gridCol w:w="107"/>
        <w:gridCol w:w="107"/>
        <w:gridCol w:w="1769"/>
        <w:gridCol w:w="390"/>
        <w:gridCol w:w="240"/>
        <w:gridCol w:w="139"/>
        <w:gridCol w:w="139"/>
        <w:gridCol w:w="1021"/>
        <w:gridCol w:w="534"/>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070"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Name and Address of Beneficial Owner</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373"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Amount and nature of</w:t>
              <w:br/>
              <w:t>beneficial ownership(1)</w:t>
            </w:r>
          </w:p>
        </w:tc>
        <w:tc>
          <w:tcPr>
            <w:tcW w:w="240" w:type="dxa"/>
            <w:tcBorders>
              <w:bottom w:val="single" w:sz="56" w:space="0" w:color="7DB655"/>
            </w:tcBorders>
            <w:tcMar>
              <w:bottom w:w="28" w:type="dxa"/>
            </w:tcMar>
            <w:vAlign w:val="center"/>
          </w:tcPr>
          <w:p>
            <w:pPr>
              <w:pStyle w:val="TableContents"/>
              <w:bidi w:val="0"/>
              <w:spacing w:before="0" w:after="283"/>
              <w:jc w:val="left"/>
              <w:rPr/>
            </w:pPr>
            <w:r>
              <w:rPr/>
              <w:t>    </w:t>
            </w:r>
          </w:p>
        </w:tc>
        <w:tc>
          <w:tcPr>
            <w:tcW w:w="1833" w:type="dxa"/>
            <w:gridSpan w:val="4"/>
            <w:tcBorders>
              <w:bottom w:val="single" w:sz="56" w:space="0" w:color="7DB655"/>
            </w:tcBorders>
            <w:tcMar>
              <w:bottom w:w="80" w:type="dxa"/>
            </w:tcMar>
            <w:vAlign w:val="center"/>
          </w:tcPr>
          <w:p>
            <w:pPr>
              <w:pStyle w:val="TableContents"/>
              <w:bidi w:val="0"/>
              <w:spacing w:before="0" w:after="283"/>
              <w:jc w:val="center"/>
              <w:rPr>
                <w:b/>
                <w:color w:val="191919"/>
              </w:rPr>
            </w:pPr>
            <w:r>
              <w:rPr>
                <w:b/>
                <w:color w:val="191919"/>
              </w:rPr>
              <w:t>Percent of class </w:t>
            </w:r>
          </w:p>
        </w:tc>
      </w:tr>
      <w:tr>
        <w:trPr/>
        <w:tc>
          <w:tcPr>
            <w:tcW w:w="4070"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191919"/>
                <w:sz w:val="17"/>
              </w:rPr>
            </w:pPr>
            <w:r>
              <w:rPr>
                <w:rFonts w:ascii="Arial" w:hAnsi="Arial"/>
                <w:b/>
                <w:color w:val="191919"/>
                <w:sz w:val="17"/>
              </w:rPr>
              <w:t>BlackRock, Inc.</w:t>
            </w:r>
          </w:p>
          <w:p>
            <w:pPr>
              <w:pStyle w:val="TableContents"/>
              <w:bidi w:val="0"/>
              <w:spacing w:before="0" w:after="20"/>
              <w:jc w:val="left"/>
              <w:rPr>
                <w:rFonts w:ascii="Arial" w:hAnsi="Arial"/>
                <w:color w:val="191919"/>
                <w:sz w:val="17"/>
              </w:rPr>
            </w:pPr>
            <w:r>
              <w:rPr>
                <w:rFonts w:ascii="Arial" w:hAnsi="Arial"/>
                <w:color w:val="191919"/>
                <w:sz w:val="17"/>
              </w:rPr>
              <w:t>50 Hudson Yards, New York, New York 10001</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color w:val="191919"/>
              </w:rPr>
            </w:pPr>
            <w:r>
              <w:rPr>
                <w:color w:val="191919"/>
              </w:rPr>
              <w:t> </w:t>
            </w:r>
          </w:p>
        </w:tc>
        <w:tc>
          <w:tcPr>
            <w:tcW w:w="1769" w:type="dxa"/>
            <w:tcBorders/>
            <w:vAlign w:val="center"/>
          </w:tcPr>
          <w:p>
            <w:pPr>
              <w:pStyle w:val="TableContents"/>
              <w:bidi w:val="0"/>
              <w:spacing w:before="0" w:after="283"/>
              <w:jc w:val="right"/>
              <w:rPr>
                <w:color w:val="191919"/>
              </w:rPr>
            </w:pPr>
            <w:r>
              <w:rPr>
                <w:color w:val="191919"/>
              </w:rPr>
              <w:t>2,340,423</w:t>
            </w:r>
          </w:p>
        </w:tc>
        <w:tc>
          <w:tcPr>
            <w:tcW w:w="390" w:type="dxa"/>
            <w:tcBorders/>
            <w:vAlign w:val="center"/>
          </w:tcPr>
          <w:p>
            <w:pPr>
              <w:pStyle w:val="TableContents"/>
              <w:bidi w:val="0"/>
              <w:spacing w:before="0" w:after="283"/>
              <w:jc w:val="left"/>
              <w:rPr/>
            </w:pPr>
            <w:r>
              <w:rPr>
                <w:color w:val="191919"/>
              </w:rPr>
              <w:t>(2)</w:t>
            </w:r>
            <w:r>
              <w:rPr/>
              <w:t> </w:t>
            </w:r>
          </w:p>
        </w:tc>
        <w:tc>
          <w:tcPr>
            <w:tcW w:w="24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color w:val="191919"/>
              </w:rPr>
            </w:pPr>
            <w:r>
              <w:rPr>
                <w:color w:val="191919"/>
              </w:rPr>
              <w:t> </w:t>
            </w:r>
          </w:p>
        </w:tc>
        <w:tc>
          <w:tcPr>
            <w:tcW w:w="1021" w:type="dxa"/>
            <w:tcBorders/>
            <w:vAlign w:val="center"/>
          </w:tcPr>
          <w:p>
            <w:pPr>
              <w:pStyle w:val="TableContents"/>
              <w:bidi w:val="0"/>
              <w:spacing w:before="0" w:after="283"/>
              <w:jc w:val="right"/>
              <w:rPr>
                <w:color w:val="191919"/>
              </w:rPr>
            </w:pPr>
            <w:r>
              <w:rPr>
                <w:color w:val="191919"/>
              </w:rPr>
              <w:t>13.9</w:t>
            </w:r>
          </w:p>
        </w:tc>
        <w:tc>
          <w:tcPr>
            <w:tcW w:w="534" w:type="dxa"/>
            <w:tcBorders/>
            <w:vAlign w:val="center"/>
          </w:tcPr>
          <w:p>
            <w:pPr>
              <w:pStyle w:val="TableContents"/>
              <w:bidi w:val="0"/>
              <w:spacing w:before="0" w:after="283"/>
              <w:jc w:val="left"/>
              <w:rPr>
                <w:color w:val="191919"/>
              </w:rPr>
            </w:pPr>
            <w:r>
              <w:rPr>
                <w:color w:val="191919"/>
              </w:rPr>
              <w:t>%</w:t>
            </w:r>
          </w:p>
        </w:tc>
      </w:tr>
      <w:tr>
        <w:trPr/>
        <w:tc>
          <w:tcPr>
            <w:tcW w:w="4070" w:type="dxa"/>
            <w:tcBorders/>
            <w:shd w:fill="EDEDED" w:val="clear"/>
            <w:vAlign w:val="center"/>
          </w:tcPr>
          <w:p>
            <w:pPr>
              <w:pStyle w:val="TableContents"/>
              <w:bidi w:val="0"/>
              <w:spacing w:before="0" w:after="283"/>
              <w:jc w:val="left"/>
              <w:rPr>
                <w:sz w:val="4"/>
                <w:szCs w:val="4"/>
              </w:rPr>
            </w:pPr>
            <w:r>
              <w:rPr>
                <w:sz w:val="4"/>
                <w:szCs w:val="4"/>
              </w:rPr>
            </w:r>
          </w:p>
        </w:tc>
        <w:tc>
          <w:tcPr>
            <w:tcW w:w="2493" w:type="dxa"/>
            <w:gridSpan w:val="5"/>
            <w:tcBorders/>
            <w:shd w:fill="EDEDED" w:val="clear"/>
            <w:vAlign w:val="center"/>
          </w:tcPr>
          <w:p>
            <w:pPr>
              <w:pStyle w:val="TableContents"/>
              <w:bidi w:val="0"/>
              <w:spacing w:before="0" w:after="283"/>
              <w:jc w:val="left"/>
              <w:rPr>
                <w:sz w:val="4"/>
                <w:szCs w:val="4"/>
              </w:rPr>
            </w:pPr>
            <w:r>
              <w:rPr>
                <w:sz w:val="4"/>
                <w:szCs w:val="4"/>
              </w:rPr>
            </w:r>
          </w:p>
        </w:tc>
        <w:tc>
          <w:tcPr>
            <w:tcW w:w="2073"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4070" w:type="dxa"/>
            <w:tcBorders/>
            <w:shd w:fill="EDEDED" w:val="clear"/>
            <w:vAlign w:val="center"/>
          </w:tcPr>
          <w:p>
            <w:pPr>
              <w:pStyle w:val="TableContents"/>
              <w:bidi w:val="0"/>
              <w:spacing w:before="0" w:after="0"/>
              <w:jc w:val="left"/>
              <w:rPr>
                <w:rFonts w:ascii="Arial" w:hAnsi="Arial"/>
                <w:b/>
                <w:color w:val="191919"/>
                <w:sz w:val="17"/>
              </w:rPr>
            </w:pPr>
            <w:r>
              <w:rPr>
                <w:rFonts w:ascii="Arial" w:hAnsi="Arial"/>
                <w:b/>
                <w:color w:val="191919"/>
                <w:sz w:val="17"/>
              </w:rPr>
              <w:t>Vanguard Portfolio Management</w:t>
            </w:r>
          </w:p>
          <w:p>
            <w:pPr>
              <w:pStyle w:val="TableContents"/>
              <w:bidi w:val="0"/>
              <w:spacing w:before="0" w:after="20"/>
              <w:jc w:val="left"/>
              <w:rPr>
                <w:rFonts w:ascii="Arial" w:hAnsi="Arial"/>
                <w:color w:val="191919"/>
                <w:sz w:val="17"/>
              </w:rPr>
            </w:pPr>
            <w:r>
              <w:rPr>
                <w:rFonts w:ascii="Arial" w:hAnsi="Arial"/>
                <w:color w:val="191919"/>
                <w:sz w:val="17"/>
              </w:rPr>
              <w:t>100 Vanguard Boulevard, Malvern, Pennsylvania 19355</w:t>
            </w:r>
          </w:p>
        </w:tc>
        <w:tc>
          <w:tcPr>
            <w:tcW w:w="120" w:type="dxa"/>
            <w:tcBorders/>
            <w:shd w:fill="EDEDED" w:val="clear"/>
            <w:vAlign w:val="center"/>
          </w:tcPr>
          <w:p>
            <w:pPr>
              <w:pStyle w:val="TableContents"/>
              <w:bidi w:val="0"/>
              <w:spacing w:before="0" w:after="283"/>
              <w:jc w:val="left"/>
              <w:rPr/>
            </w:pPr>
            <w:r>
              <w:rPr/>
              <w:t>  </w:t>
            </w:r>
          </w:p>
        </w:tc>
        <w:tc>
          <w:tcPr>
            <w:tcW w:w="107" w:type="dxa"/>
            <w:tcBorders/>
            <w:shd w:fill="EDEDED" w:val="clear"/>
            <w:vAlign w:val="center"/>
          </w:tcPr>
          <w:p>
            <w:pPr>
              <w:pStyle w:val="TableContents"/>
              <w:bidi w:val="0"/>
              <w:spacing w:before="0" w:after="283"/>
              <w:jc w:val="left"/>
              <w:rPr/>
            </w:pPr>
            <w:r>
              <w:rPr/>
              <w:t> </w:t>
            </w:r>
          </w:p>
        </w:tc>
        <w:tc>
          <w:tcPr>
            <w:tcW w:w="107" w:type="dxa"/>
            <w:tcBorders/>
            <w:shd w:fill="EDEDED" w:val="clear"/>
            <w:vAlign w:val="center"/>
          </w:tcPr>
          <w:p>
            <w:pPr>
              <w:pStyle w:val="TableContents"/>
              <w:bidi w:val="0"/>
              <w:spacing w:before="0" w:after="283"/>
              <w:jc w:val="left"/>
              <w:rPr>
                <w:color w:val="191919"/>
              </w:rPr>
            </w:pPr>
            <w:r>
              <w:rPr>
                <w:color w:val="191919"/>
              </w:rPr>
              <w:t> </w:t>
            </w:r>
          </w:p>
        </w:tc>
        <w:tc>
          <w:tcPr>
            <w:tcW w:w="1769" w:type="dxa"/>
            <w:tcBorders/>
            <w:shd w:fill="EDEDED" w:val="clear"/>
            <w:vAlign w:val="center"/>
          </w:tcPr>
          <w:p>
            <w:pPr>
              <w:pStyle w:val="TableContents"/>
              <w:bidi w:val="0"/>
              <w:spacing w:before="0" w:after="283"/>
              <w:jc w:val="right"/>
              <w:rPr>
                <w:color w:val="191919"/>
              </w:rPr>
            </w:pPr>
            <w:r>
              <w:rPr>
                <w:color w:val="191919"/>
              </w:rPr>
              <w:t>911,560</w:t>
            </w:r>
          </w:p>
        </w:tc>
        <w:tc>
          <w:tcPr>
            <w:tcW w:w="390" w:type="dxa"/>
            <w:tcBorders/>
            <w:shd w:fill="EDEDED" w:val="clear"/>
            <w:vAlign w:val="center"/>
          </w:tcPr>
          <w:p>
            <w:pPr>
              <w:pStyle w:val="TableContents"/>
              <w:bidi w:val="0"/>
              <w:spacing w:before="0" w:after="283"/>
              <w:jc w:val="left"/>
              <w:rPr/>
            </w:pPr>
            <w:r>
              <w:rPr>
                <w:color w:val="191919"/>
              </w:rPr>
              <w:t>(3)</w:t>
            </w:r>
            <w:r>
              <w:rPr/>
              <w:t> </w:t>
            </w:r>
          </w:p>
        </w:tc>
        <w:tc>
          <w:tcPr>
            <w:tcW w:w="240" w:type="dxa"/>
            <w:tcBorders/>
            <w:shd w:fill="EDEDED" w:val="clear"/>
            <w:vAlign w:val="center"/>
          </w:tcPr>
          <w:p>
            <w:pPr>
              <w:pStyle w:val="TableContents"/>
              <w:bidi w:val="0"/>
              <w:spacing w:before="0" w:after="283"/>
              <w:jc w:val="left"/>
              <w:rPr/>
            </w:pPr>
            <w:r>
              <w:rPr/>
              <w:t>    </w:t>
            </w:r>
          </w:p>
        </w:tc>
        <w:tc>
          <w:tcPr>
            <w:tcW w:w="139" w:type="dxa"/>
            <w:tcBorders/>
            <w:shd w:fill="EDEDED" w:val="clear"/>
            <w:vAlign w:val="center"/>
          </w:tcPr>
          <w:p>
            <w:pPr>
              <w:pStyle w:val="TableContents"/>
              <w:bidi w:val="0"/>
              <w:spacing w:before="0" w:after="283"/>
              <w:jc w:val="left"/>
              <w:rPr/>
            </w:pPr>
            <w:r>
              <w:rPr/>
              <w:t> </w:t>
            </w:r>
          </w:p>
        </w:tc>
        <w:tc>
          <w:tcPr>
            <w:tcW w:w="139" w:type="dxa"/>
            <w:tcBorders/>
            <w:shd w:fill="EDEDED" w:val="clear"/>
            <w:vAlign w:val="center"/>
          </w:tcPr>
          <w:p>
            <w:pPr>
              <w:pStyle w:val="TableContents"/>
              <w:bidi w:val="0"/>
              <w:spacing w:before="0" w:after="283"/>
              <w:jc w:val="left"/>
              <w:rPr>
                <w:color w:val="191919"/>
              </w:rPr>
            </w:pPr>
            <w:r>
              <w:rPr>
                <w:color w:val="191919"/>
              </w:rPr>
              <w:t> </w:t>
            </w:r>
          </w:p>
        </w:tc>
        <w:tc>
          <w:tcPr>
            <w:tcW w:w="1021" w:type="dxa"/>
            <w:tcBorders/>
            <w:shd w:fill="EDEDED" w:val="clear"/>
            <w:vAlign w:val="center"/>
          </w:tcPr>
          <w:p>
            <w:pPr>
              <w:pStyle w:val="TableContents"/>
              <w:bidi w:val="0"/>
              <w:spacing w:before="0" w:after="283"/>
              <w:jc w:val="right"/>
              <w:rPr>
                <w:color w:val="191919"/>
              </w:rPr>
            </w:pPr>
            <w:r>
              <w:rPr>
                <w:color w:val="191919"/>
              </w:rPr>
              <w:t>5.53</w:t>
            </w:r>
          </w:p>
        </w:tc>
        <w:tc>
          <w:tcPr>
            <w:tcW w:w="534" w:type="dxa"/>
            <w:tcBorders/>
            <w:shd w:fill="EDEDED" w:val="clear"/>
            <w:vAlign w:val="center"/>
          </w:tcPr>
          <w:p>
            <w:pPr>
              <w:pStyle w:val="TableContents"/>
              <w:bidi w:val="0"/>
              <w:spacing w:before="0" w:after="283"/>
              <w:jc w:val="left"/>
              <w:rPr>
                <w:color w:val="191919"/>
              </w:rPr>
            </w:pPr>
            <w:r>
              <w:rPr>
                <w:color w:val="191919"/>
              </w:rPr>
              <w:t>%</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2493" w:type="dxa"/>
            <w:gridSpan w:val="5"/>
            <w:tcBorders/>
            <w:vAlign w:val="center"/>
          </w:tcPr>
          <w:p>
            <w:pPr>
              <w:pStyle w:val="TableContents"/>
              <w:bidi w:val="0"/>
              <w:spacing w:before="0" w:after="283"/>
              <w:jc w:val="left"/>
              <w:rPr>
                <w:sz w:val="4"/>
                <w:szCs w:val="4"/>
              </w:rPr>
            </w:pPr>
            <w:r>
              <w:rPr>
                <w:sz w:val="4"/>
                <w:szCs w:val="4"/>
              </w:rPr>
            </w:r>
          </w:p>
        </w:tc>
        <w:tc>
          <w:tcPr>
            <w:tcW w:w="2073" w:type="dxa"/>
            <w:gridSpan w:val="5"/>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Arial" w:hAnsi="Arial"/>
                <w:b/>
                <w:color w:val="191919"/>
                <w:sz w:val="17"/>
              </w:rPr>
            </w:pPr>
            <w:r>
              <w:rPr>
                <w:rFonts w:ascii="Arial" w:hAnsi="Arial"/>
                <w:b/>
                <w:color w:val="191919"/>
                <w:sz w:val="17"/>
              </w:rPr>
              <w:t>Wasatch Advisors LP</w:t>
            </w:r>
          </w:p>
          <w:p>
            <w:pPr>
              <w:pStyle w:val="TableContents"/>
              <w:bidi w:val="0"/>
              <w:spacing w:before="0" w:after="20"/>
              <w:jc w:val="left"/>
              <w:rPr>
                <w:rFonts w:ascii="Arial" w:hAnsi="Arial"/>
                <w:color w:val="191919"/>
                <w:sz w:val="17"/>
              </w:rPr>
            </w:pPr>
            <w:r>
              <w:rPr>
                <w:rFonts w:ascii="Arial" w:hAnsi="Arial"/>
                <w:color w:val="191919"/>
                <w:sz w:val="17"/>
              </w:rPr>
              <w:t>505 Wakara Way, 3rd Floor, Salt Lake City, Utah 84108</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color w:val="191919"/>
              </w:rPr>
            </w:pPr>
            <w:r>
              <w:rPr>
                <w:color w:val="191919"/>
              </w:rPr>
              <w:t> </w:t>
            </w:r>
          </w:p>
        </w:tc>
        <w:tc>
          <w:tcPr>
            <w:tcW w:w="1769" w:type="dxa"/>
            <w:tcBorders/>
            <w:vAlign w:val="center"/>
          </w:tcPr>
          <w:p>
            <w:pPr>
              <w:pStyle w:val="TableContents"/>
              <w:bidi w:val="0"/>
              <w:spacing w:before="0" w:after="283"/>
              <w:jc w:val="right"/>
              <w:rPr>
                <w:color w:val="191919"/>
              </w:rPr>
            </w:pPr>
            <w:r>
              <w:rPr>
                <w:color w:val="191919"/>
              </w:rPr>
              <w:t>873,658</w:t>
            </w:r>
          </w:p>
        </w:tc>
        <w:tc>
          <w:tcPr>
            <w:tcW w:w="390" w:type="dxa"/>
            <w:tcBorders/>
            <w:vAlign w:val="center"/>
          </w:tcPr>
          <w:p>
            <w:pPr>
              <w:pStyle w:val="TableContents"/>
              <w:bidi w:val="0"/>
              <w:spacing w:before="0" w:after="283"/>
              <w:jc w:val="left"/>
              <w:rPr/>
            </w:pPr>
            <w:r>
              <w:rPr>
                <w:color w:val="191919"/>
              </w:rPr>
              <w:t>(4)</w:t>
            </w:r>
            <w:r>
              <w:rPr/>
              <w:t> </w:t>
            </w:r>
          </w:p>
        </w:tc>
        <w:tc>
          <w:tcPr>
            <w:tcW w:w="24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color w:val="191919"/>
              </w:rPr>
            </w:pPr>
            <w:r>
              <w:rPr>
                <w:color w:val="191919"/>
              </w:rPr>
              <w:t> </w:t>
            </w:r>
          </w:p>
        </w:tc>
        <w:tc>
          <w:tcPr>
            <w:tcW w:w="1021" w:type="dxa"/>
            <w:tcBorders/>
            <w:vAlign w:val="center"/>
          </w:tcPr>
          <w:p>
            <w:pPr>
              <w:pStyle w:val="TableContents"/>
              <w:bidi w:val="0"/>
              <w:spacing w:before="0" w:after="283"/>
              <w:jc w:val="right"/>
              <w:rPr>
                <w:color w:val="191919"/>
              </w:rPr>
            </w:pPr>
            <w:r>
              <w:rPr>
                <w:color w:val="191919"/>
              </w:rPr>
              <w:t>5.30</w:t>
            </w:r>
          </w:p>
        </w:tc>
        <w:tc>
          <w:tcPr>
            <w:tcW w:w="534" w:type="dxa"/>
            <w:tcBorders/>
            <w:vAlign w:val="center"/>
          </w:tcPr>
          <w:p>
            <w:pPr>
              <w:pStyle w:val="TableContents"/>
              <w:bidi w:val="0"/>
              <w:spacing w:before="0" w:after="283"/>
              <w:jc w:val="left"/>
              <w:rPr>
                <w:color w:val="191919"/>
              </w:rPr>
            </w:pPr>
            <w:r>
              <w:rPr>
                <w:color w:val="191919"/>
              </w:rPr>
              <w:t>%</w:t>
            </w:r>
          </w:p>
        </w:tc>
      </w:tr>
      <w:tr>
        <w:trPr/>
        <w:tc>
          <w:tcPr>
            <w:tcW w:w="4070" w:type="dxa"/>
            <w:tcBorders/>
            <w:shd w:fill="EDEDED" w:val="clear"/>
            <w:vAlign w:val="center"/>
          </w:tcPr>
          <w:p>
            <w:pPr>
              <w:pStyle w:val="TableContents"/>
              <w:bidi w:val="0"/>
              <w:spacing w:before="0" w:after="283"/>
              <w:jc w:val="left"/>
              <w:rPr>
                <w:sz w:val="4"/>
                <w:szCs w:val="4"/>
              </w:rPr>
            </w:pPr>
            <w:r>
              <w:rPr>
                <w:sz w:val="4"/>
                <w:szCs w:val="4"/>
              </w:rPr>
            </w:r>
          </w:p>
        </w:tc>
        <w:tc>
          <w:tcPr>
            <w:tcW w:w="2493" w:type="dxa"/>
            <w:gridSpan w:val="5"/>
            <w:tcBorders/>
            <w:shd w:fill="EDEDED" w:val="clear"/>
            <w:vAlign w:val="center"/>
          </w:tcPr>
          <w:p>
            <w:pPr>
              <w:pStyle w:val="TableContents"/>
              <w:bidi w:val="0"/>
              <w:spacing w:before="0" w:after="283"/>
              <w:jc w:val="left"/>
              <w:rPr>
                <w:sz w:val="4"/>
                <w:szCs w:val="4"/>
              </w:rPr>
            </w:pPr>
            <w:r>
              <w:rPr>
                <w:sz w:val="4"/>
                <w:szCs w:val="4"/>
              </w:rPr>
            </w:r>
          </w:p>
        </w:tc>
        <w:tc>
          <w:tcPr>
            <w:tcW w:w="2073"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4070" w:type="dxa"/>
            <w:tcBorders>
              <w:bottom w:val="single" w:sz="6" w:space="0" w:color="7DB655"/>
            </w:tcBorders>
            <w:shd w:fill="EDEDED" w:val="clear"/>
            <w:tcMar>
              <w:bottom w:w="80" w:type="dxa"/>
            </w:tcMar>
            <w:vAlign w:val="center"/>
          </w:tcPr>
          <w:p>
            <w:pPr>
              <w:pStyle w:val="TableContents"/>
              <w:bidi w:val="0"/>
              <w:spacing w:before="0" w:after="0"/>
              <w:jc w:val="left"/>
              <w:rPr>
                <w:rFonts w:ascii="Arial" w:hAnsi="Arial"/>
                <w:b/>
                <w:color w:val="191919"/>
                <w:sz w:val="17"/>
              </w:rPr>
            </w:pPr>
            <w:r>
              <w:rPr>
                <w:rFonts w:ascii="Arial" w:hAnsi="Arial"/>
                <w:b/>
                <w:color w:val="191919"/>
                <w:sz w:val="17"/>
              </w:rPr>
              <w:t>Vanguard Capital Management</w:t>
            </w:r>
          </w:p>
          <w:p>
            <w:pPr>
              <w:pStyle w:val="TableContents"/>
              <w:bidi w:val="0"/>
              <w:spacing w:before="0" w:after="20"/>
              <w:jc w:val="left"/>
              <w:rPr>
                <w:rFonts w:ascii="Arial" w:hAnsi="Arial"/>
                <w:color w:val="191919"/>
                <w:sz w:val="17"/>
              </w:rPr>
            </w:pPr>
            <w:r>
              <w:rPr>
                <w:rFonts w:ascii="Arial" w:hAnsi="Arial"/>
                <w:color w:val="191919"/>
                <w:sz w:val="17"/>
              </w:rPr>
              <w:t>100 Vanguard Boulevard, Malvern, Pennsylvania 19355</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07"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07"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1769" w:type="dxa"/>
            <w:tcBorders>
              <w:bottom w:val="single" w:sz="6" w:space="0" w:color="7DB655"/>
            </w:tcBorders>
            <w:shd w:fill="EDEDED" w:val="clear"/>
            <w:tcMar>
              <w:bottom w:w="80" w:type="dxa"/>
            </w:tcMar>
            <w:vAlign w:val="center"/>
          </w:tcPr>
          <w:p>
            <w:pPr>
              <w:pStyle w:val="TableContents"/>
              <w:bidi w:val="0"/>
              <w:spacing w:before="0" w:after="283"/>
              <w:jc w:val="right"/>
              <w:rPr>
                <w:color w:val="191919"/>
              </w:rPr>
            </w:pPr>
            <w:r>
              <w:rPr>
                <w:color w:val="191919"/>
              </w:rPr>
              <w:t>857,112</w:t>
            </w:r>
          </w:p>
        </w:tc>
        <w:tc>
          <w:tcPr>
            <w:tcW w:w="390" w:type="dxa"/>
            <w:tcBorders>
              <w:bottom w:val="single" w:sz="6" w:space="0" w:color="7DB655"/>
            </w:tcBorders>
            <w:shd w:fill="EDEDED" w:val="clear"/>
            <w:tcMar>
              <w:bottom w:w="80" w:type="dxa"/>
            </w:tcMar>
            <w:vAlign w:val="center"/>
          </w:tcPr>
          <w:p>
            <w:pPr>
              <w:pStyle w:val="TableContents"/>
              <w:bidi w:val="0"/>
              <w:spacing w:before="0" w:after="283"/>
              <w:jc w:val="left"/>
              <w:rPr/>
            </w:pPr>
            <w:r>
              <w:rPr>
                <w:color w:val="191919"/>
              </w:rPr>
              <w:t>(5)</w:t>
            </w:r>
            <w:r>
              <w:rPr/>
              <w:t> </w:t>
            </w:r>
          </w:p>
        </w:tc>
        <w:tc>
          <w:tcPr>
            <w:tcW w:w="24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39"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39"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 </w:t>
            </w:r>
          </w:p>
        </w:tc>
        <w:tc>
          <w:tcPr>
            <w:tcW w:w="1021" w:type="dxa"/>
            <w:tcBorders>
              <w:bottom w:val="single" w:sz="6" w:space="0" w:color="7DB655"/>
            </w:tcBorders>
            <w:shd w:fill="EDEDED" w:val="clear"/>
            <w:tcMar>
              <w:bottom w:w="80" w:type="dxa"/>
            </w:tcMar>
            <w:vAlign w:val="center"/>
          </w:tcPr>
          <w:p>
            <w:pPr>
              <w:pStyle w:val="TableContents"/>
              <w:bidi w:val="0"/>
              <w:spacing w:before="0" w:after="283"/>
              <w:jc w:val="right"/>
              <w:rPr>
                <w:color w:val="191919"/>
              </w:rPr>
            </w:pPr>
            <w:r>
              <w:rPr>
                <w:color w:val="191919"/>
              </w:rPr>
              <w:t>5.20</w:t>
            </w:r>
          </w:p>
        </w:tc>
        <w:tc>
          <w:tcPr>
            <w:tcW w:w="534" w:type="dxa"/>
            <w:tcBorders>
              <w:bottom w:val="single" w:sz="6" w:space="0" w:color="7DB655"/>
            </w:tcBorders>
            <w:shd w:fill="EDEDED" w:val="clear"/>
            <w:tcMar>
              <w:bottom w:w="80" w:type="dxa"/>
            </w:tcMar>
            <w:vAlign w:val="center"/>
          </w:tcPr>
          <w:p>
            <w:pPr>
              <w:pStyle w:val="TableContents"/>
              <w:bidi w:val="0"/>
              <w:spacing w:before="0" w:after="283"/>
              <w:jc w:val="left"/>
              <w:rPr>
                <w:color w:val="191919"/>
              </w:rPr>
            </w:pPr>
            <w:r>
              <w:rPr>
                <w:color w:val="191919"/>
              </w:rPr>
              <w:t>%</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305"/>
        <w:gridCol w:w="4580"/>
      </w:tblGrid>
      <w:tr>
        <w:trPr/>
        <w:tc>
          <w:tcPr>
            <w:tcW w:w="305" w:type="dxa"/>
            <w:tcBorders/>
            <w:vAlign w:val="center"/>
          </w:tcPr>
          <w:p>
            <w:pPr>
              <w:pStyle w:val="TableContents"/>
              <w:bidi w:val="0"/>
              <w:spacing w:before="0" w:after="283"/>
              <w:jc w:val="left"/>
              <w:rPr>
                <w:i/>
                <w:color w:val="191919"/>
              </w:rPr>
            </w:pPr>
            <w:r>
              <w:rPr>
                <w:i/>
                <w:color w:val="191919"/>
              </w:rPr>
              <w:t>(1)</w:t>
            </w:r>
          </w:p>
        </w:tc>
        <w:tc>
          <w:tcPr>
            <w:tcW w:w="4580"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Beneficial ownership has been determined in accordance with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i/>
                <w:color w:val="191919"/>
              </w:rPr>
            </w:pPr>
            <w:r>
              <w:rPr>
                <w:i/>
                <w:color w:val="191919"/>
              </w:rPr>
              <w:t>(2)</w:t>
            </w:r>
          </w:p>
        </w:tc>
        <w:tc>
          <w:tcPr>
            <w:tcW w:w="994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Based solely upon information contained in the most recently filed Schedule 13G/A of BlackRock, Inc. filed with the SEC on October 17, 2025, reflecting beneficial ownership as of September 30 2025. According to this Schedule 13G/A , BlackRock Inc. had sole voting power for 2,312,215 of these shares, no shared voting power, sole dispositive power for 2,340,423 of these shares, and no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i/>
                <w:color w:val="191919"/>
              </w:rPr>
            </w:pPr>
            <w:r>
              <w:rPr>
                <w:i/>
                <w:color w:val="191919"/>
              </w:rPr>
              <w:t>(3)</w:t>
            </w:r>
          </w:p>
        </w:tc>
        <w:tc>
          <w:tcPr>
            <w:tcW w:w="9949"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Based solely upon information contained in the most recently filed Schedule 13G of Vanguard Portfolio Management, filed with the SEC on April 29, 2026, reflecting beneficial ownership as of March 31, 2026. According to this Schedule 13G,Vanguard Portfolio Management had sole voting power for 13,904 of these shares, no shared voting power, sole dispositive power for 911,560 of these shares, and no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i/>
                <w:color w:val="191919"/>
              </w:rPr>
            </w:pPr>
            <w:r>
              <w:rPr>
                <w:i/>
                <w:color w:val="191919"/>
              </w:rPr>
              <w:t>(4)</w:t>
            </w:r>
          </w:p>
        </w:tc>
        <w:tc>
          <w:tcPr>
            <w:tcW w:w="9948"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Based solely upon information contained in the most recently filed Schedule 13G of Wasatch Advisors LP, filed with the SEC on April 23, 2026, reflecting beneficial ownership as of March 31, 2026. According to this Schedule 13G, Wasatch Advisors LP had sole voting power for 585,712.50 of these shares, no shared voting power, sole dispositive power for 873,658.50 of these shares, and no shared dispositive power.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i/>
                <w:color w:val="191919"/>
              </w:rPr>
            </w:pPr>
            <w:r>
              <w:rPr>
                <w:i/>
                <w:color w:val="191919"/>
              </w:rPr>
              <w:t>(5)</w:t>
            </w:r>
          </w:p>
        </w:tc>
        <w:tc>
          <w:tcPr>
            <w:tcW w:w="9949" w:type="dxa"/>
            <w:tcBorders/>
            <w:vAlign w:val="center"/>
          </w:tcPr>
          <w:p>
            <w:pPr>
              <w:pStyle w:val="TableContents"/>
              <w:bidi w:val="0"/>
              <w:spacing w:before="0" w:after="0"/>
              <w:jc w:val="left"/>
              <w:rPr>
                <w:rFonts w:ascii="Arial" w:hAnsi="Arial"/>
                <w:i/>
                <w:color w:val="191919"/>
                <w:sz w:val="14"/>
              </w:rPr>
            </w:pPr>
            <w:r>
              <w:rPr>
                <w:rFonts w:ascii="Arial" w:hAnsi="Arial"/>
                <w:i/>
                <w:color w:val="191919"/>
                <w:sz w:val="14"/>
              </w:rPr>
              <w:t xml:space="preserve">Based solely upon information contained in the most recently filed Schedule 13G of Vanguard Capital Management, filed with the SEC on April 29, 2026, reflecting beneficial ownership as of March 31, 2026. According to this Schedule 13G,Vanguard Capital Management had sole voting power for 124,559 of these shares, no shared voting power, sole dispositive power for 857,112 of these shares, and no shared dispositive power. </w:t>
            </w:r>
          </w:p>
        </w:tc>
      </w:tr>
    </w:tbl>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83"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42" descr=""/>
                          <pic:cNvPicPr>
                            <a:picLocks noChangeAspect="1" noChangeArrowheads="1"/>
                          </pic:cNvPicPr>
                        </pic:nvPicPr>
                        <pic:blipFill>
                          <a:blip r:embed="rId350"/>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65" w:name="toc36145_39"/>
      <w:bookmarkEnd w:id="65"/>
      <w:r>
        <w:rPr>
          <w:rFonts w:ascii="Arial" w:hAnsi="Arial"/>
          <w:b/>
          <w:color w:val="0A7DAC"/>
          <w:sz w:val="40"/>
        </w:rPr>
        <w:t xml:space="preserve">General Voting and Meeting Information </w:t>
      </w:r>
    </w:p>
    <w:p>
      <w:pPr>
        <w:pStyle w:val="TextBody"/>
        <w:bidi w:val="0"/>
        <w:spacing w:before="240" w:after="0"/>
        <w:jc w:val="left"/>
        <w:rPr>
          <w:rFonts w:ascii="Arial" w:hAnsi="Arial"/>
          <w:b/>
          <w:color w:val="7DB655"/>
          <w:sz w:val="30"/>
        </w:rPr>
      </w:pPr>
      <w:bookmarkStart w:id="66" w:name="toc36145_40"/>
      <w:bookmarkEnd w:id="66"/>
      <w:r>
        <w:rPr>
          <w:rFonts w:ascii="Arial" w:hAnsi="Arial"/>
          <w:b/>
          <w:color w:val="7DB655"/>
          <w:sz w:val="30"/>
        </w:rPr>
        <w:t xml:space="preserve">Solicitation </w:t>
      </w:r>
    </w:p>
    <w:p>
      <w:pPr>
        <w:pStyle w:val="TextBody"/>
        <w:bidi w:val="0"/>
        <w:spacing w:before="240" w:after="0"/>
        <w:jc w:val="left"/>
        <w:rPr>
          <w:rFonts w:ascii="Arial" w:hAnsi="Arial"/>
          <w:color w:val="191919"/>
          <w:sz w:val="18"/>
        </w:rPr>
      </w:pPr>
      <w:r>
        <w:rPr>
          <w:rFonts w:ascii="Arial" w:hAnsi="Arial"/>
          <w:color w:val="191919"/>
          <w:sz w:val="18"/>
        </w:rPr>
        <w:t xml:space="preserve">We are providing these proxy materials in connection with the solicitation by the Board of proxies to be voted at the 2026 Annual Meeting of Shareholders and at any adjournments or postponements thereof. The Annual Meeting will be held virtually on Thursday, August 27, 2026, at 12:30 p.m. Central Time, at: </w:t>
      </w:r>
      <w:r>
        <w:rPr>
          <w:rFonts w:ascii="Arial" w:hAnsi="Arial"/>
          <w:b/>
          <w:i/>
          <w:color w:val="191919"/>
          <w:sz w:val="18"/>
        </w:rPr>
        <w:t>www.virtualshareholdermeeting.com/CSW2026</w:t>
      </w:r>
      <w:r>
        <w:rPr>
          <w:rFonts w:ascii="Arial" w:hAnsi="Arial"/>
          <w:color w:val="191919"/>
          <w:sz w:val="18"/>
        </w:rPr>
        <w:t xml:space="preserve">. </w:t>
      </w:r>
    </w:p>
    <w:p>
      <w:pPr>
        <w:pStyle w:val="TextBody"/>
        <w:bidi w:val="0"/>
        <w:spacing w:before="240" w:after="0"/>
        <w:jc w:val="left"/>
        <w:rPr>
          <w:rFonts w:ascii="Arial" w:hAnsi="Arial"/>
          <w:b/>
          <w:color w:val="191919"/>
          <w:sz w:val="18"/>
        </w:rPr>
      </w:pPr>
      <w:r>
        <w:rPr>
          <w:rFonts w:ascii="Arial" w:hAnsi="Arial"/>
          <w:b/>
          <w:color w:val="191919"/>
          <w:sz w:val="18"/>
        </w:rPr>
        <w:t xml:space="preserve">IMPORTANT NOTICE REGARDING THE AVAILABILITY OF PROXY MATERIALS FOR THE SHAREHOLDER MEETING TO BE HELD ON AUGUST 27, 2026 </w:t>
      </w:r>
    </w:p>
    <w:p>
      <w:pPr>
        <w:pStyle w:val="TextBody"/>
        <w:bidi w:val="0"/>
        <w:spacing w:before="240" w:after="0"/>
        <w:jc w:val="left"/>
        <w:rPr>
          <w:rFonts w:ascii="Arial" w:hAnsi="Arial"/>
          <w:color w:val="191919"/>
          <w:sz w:val="18"/>
        </w:rPr>
      </w:pPr>
      <w:r>
        <w:rPr>
          <w:rFonts w:ascii="Arial" w:hAnsi="Arial"/>
          <w:color w:val="191919"/>
          <w:sz w:val="18"/>
        </w:rPr>
        <w:t xml:space="preserve">Pursuant to SEC rules, we are furnishing proxy materials, including this Proxy Statement and the Company’s Annual Report, to certain of our shareholders by providing access to these documents on the Internet instead of mailing printed copies. “Street name” shareholders, as defined below under “Voting—How to Vote,” will not receive printed copies of the proxy materials unless they request them. Instead, a Notice of Internet Availability of Proxy Materials (“Notice of Internet Availability”) was mailed to most of our “street name” shareholders, which explains how to access and review the proxy materials and how you may submit your proxy electronically. If you would like to receive a paper or electronic copy of our proxy materials, please follow the instructions included in the Notice of Internet Availability. Shareholders who requested paper copies of proxy materials or previously elected to receive proxy materials by email did not receive the Notice of Internet Availability and are receiving the proxy materials in the format requested. </w:t>
      </w:r>
    </w:p>
    <w:p>
      <w:pPr>
        <w:pStyle w:val="TextBody"/>
        <w:bidi w:val="0"/>
        <w:spacing w:before="240" w:after="0"/>
        <w:jc w:val="left"/>
        <w:rPr>
          <w:rFonts w:ascii="Arial" w:hAnsi="Arial"/>
          <w:color w:val="191919"/>
          <w:sz w:val="18"/>
        </w:rPr>
      </w:pPr>
      <w:r>
        <w:rPr>
          <w:rFonts w:ascii="Arial" w:hAnsi="Arial"/>
          <w:color w:val="191919"/>
          <w:sz w:val="18"/>
        </w:rPr>
        <w:t xml:space="preserve">This Proxy Statement and the Company’s Annual Report, are also available electronically at </w:t>
      </w:r>
      <w:r>
        <w:rPr>
          <w:rFonts w:ascii="Arial" w:hAnsi="Arial"/>
          <w:b/>
          <w:color w:val="191919"/>
          <w:sz w:val="18"/>
        </w:rPr>
        <w:t>www.proxyvote.com.</w:t>
      </w:r>
      <w:r>
        <w:rPr>
          <w:rFonts w:ascii="Arial" w:hAnsi="Arial"/>
          <w:color w:val="191919"/>
          <w:sz w:val="18"/>
        </w:rPr>
        <w:t xml:space="preserve"> </w:t>
      </w:r>
    </w:p>
    <w:p>
      <w:pPr>
        <w:pStyle w:val="TextBody"/>
        <w:bidi w:val="0"/>
        <w:spacing w:before="120" w:after="0"/>
        <w:jc w:val="left"/>
        <w:rPr>
          <w:rFonts w:ascii="Arial" w:hAnsi="Arial"/>
          <w:color w:val="191919"/>
          <w:sz w:val="18"/>
        </w:rPr>
      </w:pPr>
      <w:r>
        <w:rPr>
          <w:rFonts w:ascii="Arial" w:hAnsi="Arial"/>
          <w:color w:val="191919"/>
          <w:sz w:val="18"/>
        </w:rPr>
        <w:t xml:space="preserve">To access and review the materials electronically: </w:t>
      </w:r>
    </w:p>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215"/>
        <w:gridCol w:w="6785"/>
      </w:tblGrid>
      <w:tr>
        <w:trPr/>
        <w:tc>
          <w:tcPr>
            <w:tcW w:w="215" w:type="dxa"/>
            <w:tcBorders/>
            <w:vAlign w:val="center"/>
          </w:tcPr>
          <w:p>
            <w:pPr>
              <w:pStyle w:val="TableContents"/>
              <w:bidi w:val="0"/>
              <w:spacing w:before="0" w:after="283"/>
              <w:jc w:val="left"/>
              <w:rPr>
                <w:b/>
                <w:color w:val="8ABD66"/>
              </w:rPr>
            </w:pPr>
            <w:r>
              <w:rPr>
                <w:b/>
                <w:color w:val="8ABD66"/>
              </w:rPr>
              <w:t>1.</w:t>
            </w:r>
          </w:p>
        </w:tc>
        <w:tc>
          <w:tcPr>
            <w:tcW w:w="678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Have your Notice of Internet Availability, proxy card or voting instructions available.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283"/>
              <w:jc w:val="left"/>
              <w:rPr>
                <w:b/>
                <w:color w:val="8ABD66"/>
              </w:rPr>
            </w:pPr>
            <w:r>
              <w:rPr>
                <w:b/>
                <w:color w:val="8ABD66"/>
              </w:rPr>
              <w:t>2.</w:t>
            </w:r>
          </w:p>
        </w:tc>
        <w:tc>
          <w:tcPr>
            <w:tcW w:w="549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Go to </w:t>
            </w:r>
            <w:r>
              <w:rPr>
                <w:rFonts w:ascii="Arial" w:hAnsi="Arial"/>
                <w:b/>
                <w:i/>
                <w:color w:val="191919"/>
                <w:sz w:val="18"/>
              </w:rPr>
              <w:t>www.proxyvote.com</w:t>
            </w:r>
            <w:r>
              <w:rPr>
                <w:rFonts w:ascii="Arial" w:hAnsi="Arial"/>
                <w:color w:val="191919"/>
                <w:sz w:val="18"/>
              </w:rPr>
              <w:t xml:space="preserve"> and input your 16-digit control number.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215"/>
        <w:gridCol w:w="4340"/>
      </w:tblGrid>
      <w:tr>
        <w:trPr/>
        <w:tc>
          <w:tcPr>
            <w:tcW w:w="215" w:type="dxa"/>
            <w:tcBorders/>
            <w:vAlign w:val="center"/>
          </w:tcPr>
          <w:p>
            <w:pPr>
              <w:pStyle w:val="TableContents"/>
              <w:bidi w:val="0"/>
              <w:spacing w:before="0" w:after="283"/>
              <w:jc w:val="left"/>
              <w:rPr>
                <w:b/>
                <w:color w:val="8ABD66"/>
              </w:rPr>
            </w:pPr>
            <w:r>
              <w:rPr>
                <w:b/>
                <w:color w:val="8ABD66"/>
              </w:rPr>
              <w:t>3.</w:t>
            </w:r>
          </w:p>
        </w:tc>
        <w:tc>
          <w:tcPr>
            <w:tcW w:w="434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Click the “2026 Proxy Statement” in the right column. </w:t>
            </w:r>
          </w:p>
        </w:tc>
      </w:tr>
    </w:tbl>
    <w:p>
      <w:pPr>
        <w:pStyle w:val="TextBody"/>
        <w:bidi w:val="0"/>
        <w:spacing w:before="240" w:after="0"/>
        <w:jc w:val="left"/>
        <w:rPr>
          <w:rFonts w:ascii="Arial" w:hAnsi="Arial"/>
          <w:color w:val="191919"/>
          <w:sz w:val="18"/>
        </w:rPr>
      </w:pPr>
      <w:r>
        <w:rPr>
          <w:rFonts w:ascii="Arial" w:hAnsi="Arial"/>
          <w:color w:val="191919"/>
          <w:sz w:val="18"/>
        </w:rPr>
        <w:t xml:space="preserve">We encourage you to review all the important information contained in the proxy materials before voting. If you would like to attend the virtual Annual Meeting, instructions on how to attend and participate via the Internet, including how to demonstrate proof of stock ownership, are posted at </w:t>
      </w:r>
      <w:r>
        <w:rPr>
          <w:rFonts w:ascii="Arial" w:hAnsi="Arial"/>
          <w:b/>
          <w:i/>
          <w:color w:val="191919"/>
          <w:sz w:val="18"/>
        </w:rPr>
        <w:t>www.virtualshareholdermeeting.com/CSW2026</w:t>
      </w:r>
      <w:r>
        <w:rPr>
          <w:rFonts w:ascii="Arial" w:hAnsi="Arial"/>
          <w:i/>
          <w:color w:val="191919"/>
          <w:sz w:val="18"/>
        </w:rPr>
        <w:t>.</w:t>
      </w:r>
      <w:r>
        <w:rPr>
          <w:rFonts w:ascii="Arial" w:hAnsi="Arial"/>
          <w:color w:val="191919"/>
          <w:sz w:val="18"/>
        </w:rPr>
        <w:t xml:space="preserve"> </w:t>
      </w:r>
    </w:p>
    <w:p>
      <w:pPr>
        <w:pStyle w:val="TextBody"/>
        <w:bidi w:val="0"/>
        <w:spacing w:before="240" w:after="0"/>
        <w:jc w:val="left"/>
        <w:rPr>
          <w:rFonts w:ascii="Arial" w:hAnsi="Arial"/>
          <w:color w:val="191919"/>
          <w:sz w:val="18"/>
        </w:rPr>
      </w:pPr>
      <w:r>
        <w:rPr>
          <w:rFonts w:ascii="Arial" w:hAnsi="Arial"/>
          <w:color w:val="191919"/>
          <w:sz w:val="18"/>
        </w:rPr>
        <w:t xml:space="preserve">The proxy materials are being sent to shareholders on or about July 16, 2026. </w:t>
      </w:r>
    </w:p>
    <w:p>
      <w:pPr>
        <w:pStyle w:val="TextBody"/>
        <w:bidi w:val="0"/>
        <w:spacing w:before="360" w:after="0"/>
        <w:jc w:val="left"/>
        <w:rPr>
          <w:rFonts w:ascii="Arial" w:hAnsi="Arial"/>
          <w:b/>
          <w:color w:val="7DB655"/>
          <w:sz w:val="30"/>
        </w:rPr>
      </w:pPr>
      <w:bookmarkStart w:id="67" w:name="toc36145_41"/>
      <w:bookmarkEnd w:id="67"/>
      <w:r>
        <w:rPr>
          <w:rFonts w:ascii="Arial" w:hAnsi="Arial"/>
          <w:b/>
          <w:color w:val="7DB655"/>
          <w:sz w:val="30"/>
        </w:rPr>
        <w:t xml:space="preserve">Voting </w:t>
      </w:r>
    </w:p>
    <w:p>
      <w:pPr>
        <w:pStyle w:val="TextBody"/>
        <w:bidi w:val="0"/>
        <w:spacing w:before="240" w:after="0"/>
        <w:jc w:val="left"/>
        <w:rPr>
          <w:rFonts w:ascii="Arial" w:hAnsi="Arial"/>
          <w:b/>
          <w:color w:val="191919"/>
          <w:sz w:val="26"/>
        </w:rPr>
      </w:pPr>
      <w:r>
        <w:rPr>
          <w:rFonts w:ascii="Arial" w:hAnsi="Arial"/>
          <w:b/>
          <w:color w:val="191919"/>
          <w:sz w:val="26"/>
        </w:rPr>
        <w:t xml:space="preserve">Who May Vote and Number of Votes </w:t>
      </w:r>
    </w:p>
    <w:p>
      <w:pPr>
        <w:pStyle w:val="TextBody"/>
        <w:bidi w:val="0"/>
        <w:spacing w:before="240" w:after="0"/>
        <w:jc w:val="left"/>
        <w:rPr>
          <w:rFonts w:ascii="Arial" w:hAnsi="Arial"/>
          <w:color w:val="191919"/>
          <w:sz w:val="18"/>
        </w:rPr>
      </w:pPr>
      <w:r>
        <w:rPr>
          <w:rFonts w:ascii="Arial" w:hAnsi="Arial"/>
          <w:color w:val="191919"/>
          <w:sz w:val="18"/>
        </w:rPr>
        <w:t xml:space="preserve">If you are a shareholder of record at the close of business on July 8, 2026 (the “Record Date”), you may vote on the matters proposed in this Proxy Statement. For each matter raised at the Annual Meeting, you have one vote for each share you owned on the Record Date. At the close of business on the Record Date, 16,296,266 shares of common stock were issued and outstanding (excluding treasury shares) that may be voted at the Annual Meeting. A list of shareholders entitled to vote at the Annual Meeting will be available for inspection by any shareholder at our offices in Dallas, Texas during ordinary business hours for a period of 10 days prior to the Annual Meeting.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84"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43" descr=""/>
                          <pic:cNvPicPr>
                            <a:picLocks noChangeAspect="1" noChangeArrowheads="1"/>
                          </pic:cNvPicPr>
                        </pic:nvPicPr>
                        <pic:blipFill>
                          <a:blip r:embed="rId351"/>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75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color w:val="7DB655"/>
          <w:sz w:val="16"/>
        </w:rPr>
      </w:pPr>
      <w:r>
        <w:rPr>
          <w:rFonts w:ascii="Arial" w:hAnsi="Arial"/>
          <w:color w:val="7DB655"/>
          <w:sz w:val="16"/>
        </w:rPr>
        <w:t xml:space="preserve">General Voting and Meeting Information </w:t>
      </w:r>
    </w:p>
    <w:p>
      <w:pPr>
        <w:pStyle w:val="TextBody"/>
        <w:bidi w:val="0"/>
        <w:spacing w:before="0" w:after="0"/>
        <w:jc w:val="left"/>
        <w:rPr>
          <w:rFonts w:ascii="Arial" w:hAnsi="Arial"/>
          <w:sz w:val="16"/>
        </w:rPr>
      </w:pPr>
      <w:r>
        <w:rPr>
          <w:rFonts w:ascii="Arial" w:hAnsi="Arial"/>
          <w:sz w:val="16"/>
        </w:rPr>
        <w:t xml:space="preserve">Voting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If your shares are held through a broker, your vote instructs the broker how you want your shares to be voted. If you vote on each proposal, your shares will be voted in accordance with your instructions. Brokers may vote shares they hold in “street name” on behalf of beneficial owners who have not voted with respect to certain “routine” matters. The proposal to ratify the appointment of Grant Thornton LLP (Proposal 3) is considered a routine matter, so brokers may vote shares on this matter in their discretion if no voting instructions are received. However, the proposals for the election of directors (Proposal 1) and the advisory vote on executive compensation (Proposal 2) are </w:t>
      </w:r>
      <w:r>
        <w:rPr>
          <w:rFonts w:ascii="Arial" w:hAnsi="Arial"/>
          <w:b/>
          <w:i/>
          <w:color w:val="191919"/>
          <w:sz w:val="18"/>
        </w:rPr>
        <w:t xml:space="preserve">NOT </w:t>
      </w:r>
      <w:r>
        <w:rPr>
          <w:rFonts w:ascii="Arial" w:hAnsi="Arial"/>
          <w:color w:val="191919"/>
          <w:sz w:val="18"/>
        </w:rPr>
        <w:t xml:space="preserve">considered routine matters, so your broker will not have discretion to vote your shares if you do not provide voting instructions. This is referred to as a “broker non-vote.” </w:t>
      </w:r>
    </w:p>
    <w:p>
      <w:pPr>
        <w:pStyle w:val="TextBody"/>
        <w:bidi w:val="0"/>
        <w:spacing w:before="360" w:after="0"/>
        <w:jc w:val="left"/>
        <w:rPr>
          <w:rFonts w:ascii="Arial" w:hAnsi="Arial"/>
          <w:b/>
          <w:color w:val="191919"/>
          <w:sz w:val="26"/>
        </w:rPr>
      </w:pPr>
      <w:r>
        <w:rPr>
          <w:rFonts w:ascii="Arial" w:hAnsi="Arial"/>
          <w:b/>
          <w:color w:val="191919"/>
          <w:sz w:val="26"/>
        </w:rPr>
        <w:t xml:space="preserve">Quorum for the Meeting </w:t>
      </w:r>
    </w:p>
    <w:p>
      <w:pPr>
        <w:pStyle w:val="TextBody"/>
        <w:bidi w:val="0"/>
        <w:spacing w:before="240" w:after="0"/>
        <w:jc w:val="left"/>
        <w:rPr>
          <w:rFonts w:ascii="Arial" w:hAnsi="Arial"/>
          <w:color w:val="191919"/>
          <w:sz w:val="18"/>
        </w:rPr>
      </w:pPr>
      <w:r>
        <w:rPr>
          <w:rFonts w:ascii="Arial" w:hAnsi="Arial"/>
          <w:color w:val="191919"/>
          <w:sz w:val="18"/>
        </w:rPr>
        <w:t xml:space="preserve">A majority of the outstanding shares of common stock entitled to vote at the Annual Meeting and represented in person or by proxy constitutes a quorum. We must have a quorum to conduct business at the Annual Meeting. </w:t>
      </w:r>
      <w:r>
        <w:rPr>
          <w:rFonts w:ascii="Arial" w:hAnsi="Arial"/>
          <w:b/>
          <w:i/>
          <w:color w:val="191919"/>
          <w:sz w:val="18"/>
        </w:rPr>
        <w:t>You will be part of the quorum if you vote your shares in advance of the</w:t>
      </w:r>
      <w:r>
        <w:rPr>
          <w:rFonts w:ascii="Arial" w:hAnsi="Arial"/>
          <w:color w:val="191919"/>
          <w:sz w:val="18"/>
        </w:rPr>
        <w:t xml:space="preserve"> </w:t>
      </w:r>
      <w:r>
        <w:rPr>
          <w:rFonts w:ascii="Arial" w:hAnsi="Arial"/>
          <w:b/>
          <w:i/>
          <w:color w:val="191919"/>
          <w:sz w:val="18"/>
        </w:rPr>
        <w:t>Annual Meeting</w:t>
      </w:r>
      <w:r>
        <w:rPr>
          <w:rFonts w:ascii="Arial" w:hAnsi="Arial"/>
          <w:b/>
          <w:color w:val="191919"/>
          <w:sz w:val="18"/>
        </w:rPr>
        <w:t>.</w:t>
      </w:r>
      <w:r>
        <w:rPr>
          <w:rFonts w:ascii="Arial" w:hAnsi="Arial"/>
          <w:color w:val="191919"/>
          <w:sz w:val="18"/>
        </w:rPr>
        <w:t xml:space="preserve"> If you abstain from voting on a particular proposal, your shares will still be counted as present at the meeting for purposes of determining a quorum. Broker non-votes are also counted as present for purposes of determining a quorum. </w:t>
      </w:r>
    </w:p>
    <w:p>
      <w:pPr>
        <w:pStyle w:val="TextBody"/>
        <w:bidi w:val="0"/>
        <w:spacing w:before="360" w:after="0"/>
        <w:jc w:val="left"/>
        <w:rPr>
          <w:rFonts w:ascii="Arial" w:hAnsi="Arial"/>
          <w:b/>
          <w:color w:val="191919"/>
          <w:sz w:val="26"/>
        </w:rPr>
      </w:pPr>
      <w:r>
        <w:rPr>
          <w:rFonts w:ascii="Arial" w:hAnsi="Arial"/>
          <w:b/>
          <w:color w:val="191919"/>
          <w:sz w:val="26"/>
        </w:rPr>
        <w:t xml:space="preserve">Counting of Votes </w:t>
      </w:r>
    </w:p>
    <w:p>
      <w:pPr>
        <w:pStyle w:val="TextBody"/>
        <w:bidi w:val="0"/>
        <w:spacing w:before="240" w:after="0"/>
        <w:jc w:val="left"/>
        <w:rPr>
          <w:rFonts w:ascii="Arial" w:hAnsi="Arial"/>
          <w:color w:val="191919"/>
          <w:sz w:val="18"/>
        </w:rPr>
      </w:pPr>
      <w:r>
        <w:rPr>
          <w:rFonts w:ascii="Arial" w:hAnsi="Arial"/>
          <w:color w:val="191919"/>
          <w:sz w:val="18"/>
        </w:rPr>
        <w:t xml:space="preserve">The following table shows the proposals to be presented for a vote, the applicable voting requirements, and the Board’s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5"/>
        <w:gridCol w:w="120"/>
        <w:gridCol w:w="2434"/>
        <w:gridCol w:w="120"/>
        <w:gridCol w:w="1241"/>
        <w:gridCol w:w="120"/>
        <w:gridCol w:w="1805"/>
        <w:gridCol w:w="120"/>
        <w:gridCol w:w="2720"/>
      </w:tblGrid>
      <w:tr>
        <w:trPr/>
        <w:tc>
          <w:tcPr>
            <w:tcW w:w="1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1525" w:type="dxa"/>
            <w:tcBorders>
              <w:bottom w:val="single" w:sz="56" w:space="0" w:color="7DB655"/>
            </w:tcBorders>
            <w:tcMar>
              <w:bottom w:w="8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Proposal</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434"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Vote Required to Pass</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41"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Voting Options</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1805"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 xml:space="preserve">Board’s </w:t>
              <w:br/>
              <w:t>Recommendation</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2720" w:type="dxa"/>
            <w:tcBorders>
              <w:bottom w:val="single" w:sz="56" w:space="0" w:color="7DB655"/>
            </w:tcBorders>
            <w:tcMar>
              <w:bottom w:w="80" w:type="dxa"/>
            </w:tcMar>
            <w:vAlign w:val="center"/>
          </w:tcPr>
          <w:p>
            <w:pPr>
              <w:pStyle w:val="TableContents"/>
              <w:bidi w:val="0"/>
              <w:spacing w:before="0" w:after="283"/>
              <w:jc w:val="left"/>
              <w:rPr>
                <w:b/>
                <w:color w:val="191919"/>
              </w:rPr>
            </w:pPr>
            <w:r>
              <w:rPr>
                <w:b/>
                <w:color w:val="191919"/>
              </w:rPr>
              <w:t xml:space="preserve">Effect of Abstentions </w:t>
              <w:br/>
              <w:t>and Broker Non-Votes</w:t>
            </w:r>
          </w:p>
        </w:tc>
      </w:tr>
      <w:tr>
        <w:trPr/>
        <w:tc>
          <w:tcPr>
            <w:tcW w:w="1525" w:type="dxa"/>
            <w:tcBorders/>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color w:val="191919"/>
                <w:sz w:val="17"/>
              </w:rPr>
            </w:pPr>
            <w:r>
              <w:rPr>
                <w:rFonts w:ascii="Arial" w:hAnsi="Arial"/>
                <w:color w:val="191919"/>
                <w:sz w:val="17"/>
              </w:rPr>
              <w:t>1. Elect seven directors to hold office until the 2027 annual meeting of shareholders</w:t>
            </w:r>
          </w:p>
        </w:tc>
        <w:tc>
          <w:tcPr>
            <w:tcW w:w="120" w:type="dxa"/>
            <w:tcBorders/>
            <w:vAlign w:val="center"/>
          </w:tcPr>
          <w:p>
            <w:pPr>
              <w:pStyle w:val="TableContents"/>
              <w:bidi w:val="0"/>
              <w:spacing w:before="0" w:after="283"/>
              <w:jc w:val="left"/>
              <w:rPr/>
            </w:pPr>
            <w:r>
              <w:rPr/>
              <w:t>  </w:t>
            </w:r>
          </w:p>
        </w:tc>
        <w:tc>
          <w:tcPr>
            <w:tcW w:w="2434" w:type="dxa"/>
            <w:tcBorders/>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color w:val="191919"/>
                <w:sz w:val="17"/>
              </w:rPr>
            </w:pPr>
            <w:r>
              <w:rPr>
                <w:rFonts w:ascii="Arial" w:hAnsi="Arial"/>
                <w:color w:val="191919"/>
                <w:sz w:val="17"/>
              </w:rPr>
              <w:t>The affirmative vote of a majority of the votes cast in person or by proxy</w:t>
            </w:r>
          </w:p>
        </w:tc>
        <w:tc>
          <w:tcPr>
            <w:tcW w:w="120"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0"/>
              <w:jc w:val="left"/>
              <w:rPr/>
            </w:pPr>
            <w:r>
              <w:rPr/>
              <w:t> </w:t>
            </w:r>
          </w:p>
          <w:p>
            <w:pPr>
              <w:pStyle w:val="TableContents"/>
              <w:bidi w:val="0"/>
              <w:spacing w:lineRule="atLeast" w:line="240" w:before="0" w:after="0"/>
              <w:jc w:val="left"/>
              <w:rPr>
                <w:rFonts w:ascii="Arial" w:hAnsi="Arial"/>
                <w:color w:val="191919"/>
                <w:sz w:val="17"/>
              </w:rPr>
            </w:pPr>
            <w:r>
              <w:rPr>
                <w:rFonts w:ascii="Arial" w:hAnsi="Arial"/>
                <w:b/>
                <w:color w:val="191919"/>
                <w:sz w:val="17"/>
              </w:rPr>
              <w:t>FOR</w:t>
            </w:r>
            <w:r>
              <w:rPr>
                <w:rFonts w:ascii="Arial" w:hAnsi="Arial"/>
                <w:color w:val="191919"/>
                <w:sz w:val="17"/>
              </w:rPr>
              <w:t xml:space="preserve"> all director nominees; </w:t>
            </w:r>
            <w:r>
              <w:rPr>
                <w:rFonts w:ascii="Arial" w:hAnsi="Arial"/>
                <w:b/>
                <w:color w:val="191919"/>
                <w:sz w:val="17"/>
              </w:rPr>
              <w:t>WITHHOLD</w:t>
            </w:r>
            <w:r>
              <w:rPr>
                <w:rFonts w:ascii="Arial" w:hAnsi="Arial"/>
                <w:color w:val="191919"/>
                <w:sz w:val="17"/>
              </w:rPr>
              <w:t xml:space="preserve"> as to all director nominees;</w:t>
            </w:r>
          </w:p>
          <w:p>
            <w:pPr>
              <w:pStyle w:val="TableContents"/>
              <w:bidi w:val="0"/>
              <w:spacing w:lineRule="atLeast" w:line="240" w:before="0" w:after="0"/>
              <w:jc w:val="left"/>
              <w:rPr>
                <w:rFonts w:ascii="Arial" w:hAnsi="Arial"/>
                <w:color w:val="191919"/>
                <w:sz w:val="17"/>
              </w:rPr>
            </w:pPr>
            <w:r>
              <w:rPr>
                <w:rFonts w:ascii="Arial" w:hAnsi="Arial"/>
                <w:b/>
                <w:color w:val="191919"/>
                <w:sz w:val="17"/>
              </w:rPr>
              <w:t>FOR</w:t>
            </w:r>
            <w:r>
              <w:rPr>
                <w:rFonts w:ascii="Arial" w:hAnsi="Arial"/>
                <w:color w:val="191919"/>
                <w:sz w:val="17"/>
              </w:rPr>
              <w:t xml:space="preserve"> all director nominees </w:t>
            </w:r>
            <w:r>
              <w:rPr>
                <w:rFonts w:ascii="Arial" w:hAnsi="Arial"/>
                <w:i/>
                <w:color w:val="191919"/>
                <w:sz w:val="17"/>
              </w:rPr>
              <w:t xml:space="preserve">except </w:t>
            </w:r>
            <w:r>
              <w:rPr>
                <w:rFonts w:ascii="Arial" w:hAnsi="Arial"/>
                <w:color w:val="191919"/>
                <w:sz w:val="17"/>
              </w:rPr>
              <w:t>for those specified, from whom you WITHHOLD your vote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color w:val="191919"/>
                <w:sz w:val="17"/>
              </w:rPr>
            </w:pPr>
            <w:r>
              <w:rPr>
                <w:rFonts w:ascii="Arial" w:hAnsi="Arial"/>
                <w:color w:val="191919"/>
                <w:sz w:val="17"/>
              </w:rPr>
              <w:t>FOR</w:t>
            </w:r>
          </w:p>
        </w:tc>
        <w:tc>
          <w:tcPr>
            <w:tcW w:w="12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left"/>
              <w:rPr/>
            </w:pPr>
            <w:r>
              <w:rPr/>
              <w:t> </w:t>
            </w:r>
          </w:p>
          <w:p>
            <w:pPr>
              <w:pStyle w:val="TableContents"/>
              <w:bidi w:val="0"/>
              <w:spacing w:lineRule="atLeast" w:line="240" w:before="0" w:after="20"/>
              <w:jc w:val="left"/>
              <w:rPr>
                <w:rFonts w:ascii="Arial" w:hAnsi="Arial"/>
                <w:color w:val="191919"/>
                <w:sz w:val="17"/>
              </w:rPr>
            </w:pPr>
            <w:r>
              <w:rPr>
                <w:rFonts w:ascii="Arial" w:hAnsi="Arial"/>
                <w:color w:val="191919"/>
                <w:sz w:val="17"/>
              </w:rPr>
              <w:t>No effect</w:t>
            </w:r>
          </w:p>
        </w:tc>
      </w:tr>
      <w:tr>
        <w:trPr/>
        <w:tc>
          <w:tcPr>
            <w:tcW w:w="1525" w:type="dxa"/>
            <w:tcBorders/>
            <w:shd w:fill="EDEDED" w:val="clear"/>
            <w:vAlign w:val="center"/>
          </w:tcPr>
          <w:p>
            <w:pPr>
              <w:pStyle w:val="TableContents"/>
              <w:bidi w:val="0"/>
              <w:spacing w:before="0" w:after="283"/>
              <w:jc w:val="left"/>
              <w:rPr>
                <w:sz w:val="4"/>
                <w:szCs w:val="4"/>
              </w:rPr>
            </w:pPr>
            <w:r>
              <w:rPr>
                <w:sz w:val="4"/>
                <w:szCs w:val="4"/>
              </w:rPr>
            </w:r>
          </w:p>
        </w:tc>
        <w:tc>
          <w:tcPr>
            <w:tcW w:w="2554" w:type="dxa"/>
            <w:gridSpan w:val="2"/>
            <w:tcBorders/>
            <w:shd w:fill="EDEDED" w:val="clear"/>
            <w:vAlign w:val="center"/>
          </w:tcPr>
          <w:p>
            <w:pPr>
              <w:pStyle w:val="TableContents"/>
              <w:bidi w:val="0"/>
              <w:spacing w:before="0" w:after="283"/>
              <w:jc w:val="left"/>
              <w:rPr>
                <w:sz w:val="4"/>
                <w:szCs w:val="4"/>
              </w:rPr>
            </w:pPr>
            <w:r>
              <w:rPr>
                <w:sz w:val="4"/>
                <w:szCs w:val="4"/>
              </w:rPr>
            </w:r>
          </w:p>
        </w:tc>
        <w:tc>
          <w:tcPr>
            <w:tcW w:w="1361" w:type="dxa"/>
            <w:gridSpan w:val="2"/>
            <w:tcBorders/>
            <w:shd w:fill="EDEDED" w:val="clear"/>
            <w:vAlign w:val="center"/>
          </w:tcPr>
          <w:p>
            <w:pPr>
              <w:pStyle w:val="TableContents"/>
              <w:bidi w:val="0"/>
              <w:spacing w:before="0" w:after="283"/>
              <w:jc w:val="left"/>
              <w:rPr>
                <w:sz w:val="4"/>
                <w:szCs w:val="4"/>
              </w:rPr>
            </w:pPr>
            <w:r>
              <w:rPr>
                <w:sz w:val="4"/>
                <w:szCs w:val="4"/>
              </w:rPr>
            </w:r>
          </w:p>
        </w:tc>
        <w:tc>
          <w:tcPr>
            <w:tcW w:w="1925" w:type="dxa"/>
            <w:gridSpan w:val="2"/>
            <w:tcBorders/>
            <w:shd w:fill="EDEDED" w:val="clear"/>
            <w:vAlign w:val="center"/>
          </w:tcPr>
          <w:p>
            <w:pPr>
              <w:pStyle w:val="TableContents"/>
              <w:bidi w:val="0"/>
              <w:spacing w:before="0" w:after="283"/>
              <w:jc w:val="left"/>
              <w:rPr>
                <w:sz w:val="4"/>
                <w:szCs w:val="4"/>
              </w:rPr>
            </w:pPr>
            <w:r>
              <w:rPr>
                <w:sz w:val="4"/>
                <w:szCs w:val="4"/>
              </w:rPr>
            </w:r>
          </w:p>
        </w:tc>
        <w:tc>
          <w:tcPr>
            <w:tcW w:w="284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525" w:type="dxa"/>
            <w:tcBorders/>
            <w:shd w:fill="EDEDED" w:val="cle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2. Approve, on a non-binding, advisory basis, the compensation of our Named Executive Officers</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434" w:type="dxa"/>
            <w:tcBorders/>
            <w:shd w:fill="EDEDED" w:val="cle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The affirmative vote of a majority of the votes cast in person or by proxy</w:t>
            </w:r>
          </w:p>
        </w:tc>
        <w:tc>
          <w:tcPr>
            <w:tcW w:w="120" w:type="dxa"/>
            <w:tcBorders/>
            <w:shd w:fill="EDEDED" w:val="clear"/>
            <w:vAlign w:val="center"/>
          </w:tcPr>
          <w:p>
            <w:pPr>
              <w:pStyle w:val="TableContents"/>
              <w:bidi w:val="0"/>
              <w:spacing w:before="0" w:after="283"/>
              <w:jc w:val="left"/>
              <w:rPr/>
            </w:pPr>
            <w:r>
              <w:rPr/>
              <w:t>  </w:t>
            </w:r>
          </w:p>
        </w:tc>
        <w:tc>
          <w:tcPr>
            <w:tcW w:w="1241" w:type="dxa"/>
            <w:tcBorders/>
            <w:shd w:fill="EDEDED" w:val="cle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FOR</w:t>
            </w:r>
            <w:r>
              <w:rPr>
                <w:rFonts w:ascii="Arial" w:hAnsi="Arial"/>
                <w:color w:val="191919"/>
                <w:sz w:val="17"/>
              </w:rPr>
              <w:t xml:space="preserve">, </w:t>
            </w:r>
            <w:r>
              <w:rPr>
                <w:rFonts w:ascii="Arial" w:hAnsi="Arial"/>
                <w:b/>
                <w:color w:val="191919"/>
                <w:sz w:val="17"/>
              </w:rPr>
              <w:t>AGAINST</w:t>
            </w:r>
            <w:r>
              <w:rPr>
                <w:rFonts w:ascii="Arial" w:hAnsi="Arial"/>
                <w:color w:val="191919"/>
                <w:sz w:val="17"/>
              </w:rPr>
              <w:t xml:space="preserve"> or </w:t>
            </w:r>
            <w:r>
              <w:rPr>
                <w:rFonts w:ascii="Arial" w:hAnsi="Arial"/>
                <w:b/>
                <w:color w:val="191919"/>
                <w:sz w:val="17"/>
              </w:rPr>
              <w:t>ABSTAIN</w:t>
            </w:r>
          </w:p>
        </w:tc>
        <w:tc>
          <w:tcPr>
            <w:tcW w:w="120" w:type="dxa"/>
            <w:tcBorders/>
            <w:shd w:fill="EDEDED" w:val="clear"/>
            <w:vAlign w:val="center"/>
          </w:tcPr>
          <w:p>
            <w:pPr>
              <w:pStyle w:val="TableContents"/>
              <w:bidi w:val="0"/>
              <w:spacing w:before="0" w:after="283"/>
              <w:jc w:val="left"/>
              <w:rPr/>
            </w:pPr>
            <w:r>
              <w:rPr/>
              <w:t>  </w:t>
            </w:r>
          </w:p>
        </w:tc>
        <w:tc>
          <w:tcPr>
            <w:tcW w:w="1805" w:type="dxa"/>
            <w:tcBorders/>
            <w:shd w:fill="EDEDED" w:val="cle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FOR</w:t>
            </w:r>
          </w:p>
        </w:tc>
        <w:tc>
          <w:tcPr>
            <w:tcW w:w="120" w:type="dxa"/>
            <w:tcBorders/>
            <w:shd w:fill="EDEDED" w:val="clear"/>
            <w:vAlign w:val="center"/>
          </w:tcPr>
          <w:p>
            <w:pPr>
              <w:pStyle w:val="TableContents"/>
              <w:bidi w:val="0"/>
              <w:spacing w:before="0" w:after="283"/>
              <w:jc w:val="left"/>
              <w:rPr/>
            </w:pPr>
            <w:r>
              <w:rPr/>
              <w:t>  </w:t>
            </w:r>
          </w:p>
        </w:tc>
        <w:tc>
          <w:tcPr>
            <w:tcW w:w="2720" w:type="dxa"/>
            <w:tcBorders/>
            <w:shd w:fill="EDEDED" w:val="cle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No effect</w:t>
            </w:r>
          </w:p>
        </w:tc>
      </w:tr>
      <w:tr>
        <w:trPr/>
        <w:tc>
          <w:tcPr>
            <w:tcW w:w="1525" w:type="dxa"/>
            <w:tcBorders/>
            <w:vAlign w:val="center"/>
          </w:tcPr>
          <w:p>
            <w:pPr>
              <w:pStyle w:val="TableContents"/>
              <w:bidi w:val="0"/>
              <w:spacing w:before="0" w:after="283"/>
              <w:jc w:val="left"/>
              <w:rPr>
                <w:sz w:val="4"/>
                <w:szCs w:val="4"/>
              </w:rPr>
            </w:pPr>
            <w:r>
              <w:rPr>
                <w:sz w:val="4"/>
                <w:szCs w:val="4"/>
              </w:rPr>
            </w:r>
          </w:p>
        </w:tc>
        <w:tc>
          <w:tcPr>
            <w:tcW w:w="2554" w:type="dxa"/>
            <w:gridSpan w:val="2"/>
            <w:tcBorders/>
            <w:vAlign w:val="center"/>
          </w:tcPr>
          <w:p>
            <w:pPr>
              <w:pStyle w:val="TableContents"/>
              <w:bidi w:val="0"/>
              <w:spacing w:before="0" w:after="283"/>
              <w:jc w:val="left"/>
              <w:rPr>
                <w:sz w:val="4"/>
                <w:szCs w:val="4"/>
              </w:rPr>
            </w:pPr>
            <w:r>
              <w:rPr>
                <w:sz w:val="4"/>
                <w:szCs w:val="4"/>
              </w:rPr>
            </w:r>
          </w:p>
        </w:tc>
        <w:tc>
          <w:tcPr>
            <w:tcW w:w="1361" w:type="dxa"/>
            <w:gridSpan w:val="2"/>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r>
      <w:tr>
        <w:trPr/>
        <w:tc>
          <w:tcPr>
            <w:tcW w:w="1525" w:type="dxa"/>
            <w:tcBorders>
              <w:bottom w:val="single" w:sz="6" w:space="0" w:color="7DB655"/>
            </w:tcBorders>
            <w:tcMar>
              <w:bottom w:w="80" w:type="dxa"/>
            </w:tcM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3. Ratify the appointment of Grant Thornton LLP as our independent registered public accounting firm for the fiscal year ending March 31, 2027</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2434" w:type="dxa"/>
            <w:tcBorders>
              <w:bottom w:val="single" w:sz="6" w:space="0" w:color="7DB655"/>
            </w:tcBorders>
            <w:tcMar>
              <w:bottom w:w="80" w:type="dxa"/>
            </w:tcM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The affirmative vote of a majority of the votes cast in person or by proxy</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241" w:type="dxa"/>
            <w:tcBorders>
              <w:bottom w:val="single" w:sz="6" w:space="0" w:color="7DB655"/>
            </w:tcBorders>
            <w:tcMar>
              <w:bottom w:w="80" w:type="dxa"/>
            </w:tcMar>
            <w:vAlign w:val="center"/>
          </w:tcPr>
          <w:p>
            <w:pPr>
              <w:pStyle w:val="TableContents"/>
              <w:bidi w:val="0"/>
              <w:spacing w:lineRule="atLeast" w:line="240" w:before="0" w:after="0"/>
              <w:jc w:val="left"/>
              <w:rPr>
                <w:rFonts w:ascii="Arial" w:hAnsi="Arial"/>
                <w:color w:val="191919"/>
                <w:sz w:val="17"/>
              </w:rPr>
            </w:pPr>
            <w:r>
              <w:rPr>
                <w:rFonts w:ascii="Arial" w:hAnsi="Arial"/>
                <w:b/>
                <w:color w:val="191919"/>
                <w:sz w:val="17"/>
              </w:rPr>
              <w:t>FOR</w:t>
            </w:r>
            <w:r>
              <w:rPr>
                <w:rFonts w:ascii="Arial" w:hAnsi="Arial"/>
                <w:color w:val="191919"/>
                <w:sz w:val="17"/>
              </w:rPr>
              <w:t xml:space="preserve">, </w:t>
            </w:r>
            <w:r>
              <w:rPr>
                <w:rFonts w:ascii="Arial" w:hAnsi="Arial"/>
                <w:b/>
                <w:color w:val="191919"/>
                <w:sz w:val="17"/>
              </w:rPr>
              <w:t>AGAINST</w:t>
            </w:r>
            <w:r>
              <w:rPr>
                <w:rFonts w:ascii="Arial" w:hAnsi="Arial"/>
                <w:color w:val="191919"/>
                <w:sz w:val="17"/>
              </w:rPr>
              <w:t xml:space="preserve"> or </w:t>
            </w:r>
            <w:r>
              <w:rPr>
                <w:rFonts w:ascii="Arial" w:hAnsi="Arial"/>
                <w:b/>
                <w:color w:val="191919"/>
                <w:sz w:val="17"/>
              </w:rPr>
              <w:t>ABSTAIN</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1805" w:type="dxa"/>
            <w:tcBorders>
              <w:bottom w:val="single" w:sz="6" w:space="0" w:color="7DB655"/>
            </w:tcBorders>
            <w:tcMar>
              <w:bottom w:w="80" w:type="dxa"/>
            </w:tcM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FOR</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2720" w:type="dxa"/>
            <w:tcBorders>
              <w:bottom w:val="single" w:sz="6" w:space="0" w:color="7DB655"/>
            </w:tcBorders>
            <w:tcMar>
              <w:bottom w:w="80" w:type="dxa"/>
            </w:tcMar>
            <w:vAlign w:val="center"/>
          </w:tcPr>
          <w:p>
            <w:pPr>
              <w:pStyle w:val="TableContents"/>
              <w:bidi w:val="0"/>
              <w:spacing w:lineRule="atLeast" w:line="240" w:before="0" w:after="0"/>
              <w:jc w:val="left"/>
              <w:rPr>
                <w:rFonts w:ascii="Arial" w:hAnsi="Arial"/>
                <w:color w:val="191919"/>
                <w:sz w:val="17"/>
              </w:rPr>
            </w:pPr>
            <w:r>
              <w:rPr>
                <w:rFonts w:ascii="Arial" w:hAnsi="Arial"/>
                <w:color w:val="191919"/>
                <w:sz w:val="17"/>
              </w:rPr>
              <w:t>Abstentions will not have any effect. There should not be any broker non-votes, but if any, they will have no effect on the outcome.</w:t>
            </w:r>
          </w:p>
        </w:tc>
      </w:tr>
    </w:tbl>
    <w:p>
      <w:pPr>
        <w:pStyle w:val="TextBody"/>
        <w:bidi w:val="0"/>
        <w:spacing w:before="240" w:after="0"/>
        <w:jc w:val="left"/>
        <w:rPr>
          <w:rFonts w:ascii="Arial" w:hAnsi="Arial"/>
          <w:color w:val="191919"/>
          <w:sz w:val="18"/>
        </w:rPr>
      </w:pPr>
      <w:r>
        <w:rPr>
          <w:rFonts w:ascii="Arial" w:hAnsi="Arial"/>
          <w:color w:val="191919"/>
          <w:sz w:val="18"/>
        </w:rPr>
        <w:t xml:space="preserve">The Company knows of no other matters to be submitted to the shareholders at the Annual Meeting. If any other matters are properly raised at the Annual Meeting, the individuals named on the enclosed proxy card intend to vote the shares represented thereby on such matters in accordance with their best judgment.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85"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44" descr=""/>
                          <pic:cNvPicPr>
                            <a:picLocks noChangeAspect="1" noChangeArrowheads="1"/>
                          </pic:cNvPicPr>
                        </pic:nvPicPr>
                        <pic:blipFill>
                          <a:blip r:embed="rId352"/>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General Voting and Meeting Information </w:t>
      </w:r>
    </w:p>
    <w:p>
      <w:pPr>
        <w:pStyle w:val="TextBody"/>
        <w:bidi w:val="0"/>
        <w:spacing w:before="0" w:after="0"/>
        <w:jc w:val="right"/>
        <w:rPr>
          <w:rFonts w:ascii="Arial" w:hAnsi="Arial"/>
          <w:sz w:val="16"/>
        </w:rPr>
      </w:pPr>
      <w:r>
        <w:rPr>
          <w:rFonts w:ascii="Arial" w:hAnsi="Arial"/>
          <w:sz w:val="16"/>
        </w:rPr>
        <w:t xml:space="preserve">Voting </w:t>
      </w:r>
    </w:p>
    <w:p>
      <w:pPr>
        <w:pStyle w:val="TextBody"/>
        <w:bidi w:val="0"/>
        <w:spacing w:before="0" w:after="0"/>
        <w:jc w:val="left"/>
        <w:rPr/>
      </w:pPr>
      <w:r>
        <w:rPr/>
        <w:t> </w:t>
      </w:r>
    </w:p>
    <w:p>
      <w:pPr>
        <w:pStyle w:val="TextBody"/>
        <w:bidi w:val="0"/>
        <w:spacing w:before="0" w:after="0"/>
        <w:jc w:val="left"/>
        <w:rPr>
          <w:rFonts w:ascii="Arial" w:hAnsi="Arial"/>
          <w:b/>
          <w:color w:val="191919"/>
          <w:sz w:val="26"/>
        </w:rPr>
      </w:pPr>
      <w:r>
        <w:rPr>
          <w:rFonts w:ascii="Arial" w:hAnsi="Arial"/>
          <w:b/>
          <w:color w:val="191919"/>
          <w:sz w:val="26"/>
        </w:rPr>
        <w:t xml:space="preserve">How to Vote </w:t>
      </w:r>
    </w:p>
    <w:p>
      <w:pPr>
        <w:pStyle w:val="TextBody"/>
        <w:bidi w:val="0"/>
        <w:spacing w:before="240" w:after="0"/>
        <w:jc w:val="left"/>
        <w:rPr>
          <w:rFonts w:ascii="Arial" w:hAnsi="Arial"/>
          <w:color w:val="191919"/>
          <w:sz w:val="18"/>
        </w:rPr>
      </w:pPr>
      <w:r>
        <w:rPr>
          <w:rFonts w:ascii="Arial" w:hAnsi="Arial"/>
          <w:b/>
          <w:i/>
          <w:color w:val="191919"/>
          <w:sz w:val="18"/>
        </w:rPr>
        <w:t>If your shares are registered in the name of a brokerage firm, bank, or other nominee (i.e., in “street name”)</w:t>
      </w:r>
      <w:r>
        <w:rPr>
          <w:rFonts w:ascii="Arial" w:hAnsi="Arial"/>
          <w:color w:val="191919"/>
          <w:sz w:val="18"/>
        </w:rPr>
        <w:t xml:space="preserve">. You will receive instructions from your nominee, which you must follow in order to have your shares voted. “Street name” shareholders who wish to vote at the Annual Meeting will need to obtain a proxy from the broker, bank or other nominee that holds their shares, which will include a 16-digit control number that enables you to vote your shares. </w:t>
      </w:r>
    </w:p>
    <w:p>
      <w:pPr>
        <w:pStyle w:val="TextBody"/>
        <w:bidi w:val="0"/>
        <w:spacing w:before="240" w:after="0"/>
        <w:jc w:val="left"/>
        <w:rPr>
          <w:rFonts w:ascii="Arial" w:hAnsi="Arial"/>
          <w:color w:val="191919"/>
          <w:sz w:val="18"/>
        </w:rPr>
      </w:pPr>
      <w:r>
        <w:rPr>
          <w:rFonts w:ascii="Arial" w:hAnsi="Arial"/>
          <w:b/>
          <w:i/>
          <w:color w:val="191919"/>
          <w:sz w:val="18"/>
        </w:rPr>
        <w:t xml:space="preserve">If your shares are registered directly in your name. </w:t>
      </w:r>
      <w:r>
        <w:rPr>
          <w:rFonts w:ascii="Arial" w:hAnsi="Arial"/>
          <w:color w:val="191919"/>
          <w:sz w:val="18"/>
        </w:rPr>
        <w:t xml:space="preserve">You can vote your shares in one of four ways: by proxy via the Internet; by proxy over the telephone; by proxy using a proxy card; or online during the virtual Annual Meeting. Even if you do not plan to attend the Annual Meeting, we urge you to vote by proxy to ensure your vote is counted. For all voting methods, you will need your 16-digit control number.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Vote by Internet.</w:t>
            </w:r>
            <w:r>
              <w:rPr>
                <w:rFonts w:ascii="Arial" w:hAnsi="Arial"/>
                <w:color w:val="191919"/>
                <w:sz w:val="18"/>
              </w:rPr>
              <w:t xml:space="preserve"> You have the option to vote using the Internet at </w:t>
            </w:r>
            <w:r>
              <w:rPr>
                <w:rFonts w:ascii="Arial" w:hAnsi="Arial"/>
                <w:b/>
                <w:color w:val="191919"/>
                <w:sz w:val="18"/>
              </w:rPr>
              <w:t>www.proxyvote.com</w:t>
            </w:r>
            <w:r>
              <w:rPr>
                <w:rFonts w:ascii="Arial" w:hAnsi="Arial"/>
                <w:color w:val="191919"/>
                <w:sz w:val="18"/>
              </w:rPr>
              <w:t xml:space="preserve">. The on-screen instructions will direct you how to vote your shares. Internet voting is available 24 hours a day, seven days a week, until 11:59 p.m., Eastern Time, on August 26, 2026. </w:t>
            </w:r>
            <w:r>
              <w:rPr>
                <w:rFonts w:ascii="Arial" w:hAnsi="Arial"/>
                <w:b/>
                <w:color w:val="191919"/>
                <w:sz w:val="18"/>
              </w:rPr>
              <w:t>IF YOU VOTE BY INTERNET, YOU DO NOT NEED TO RETURN A PROXY CARD.</w:t>
            </w:r>
            <w:r>
              <w:rPr>
                <w:rFonts w:ascii="Arial" w:hAnsi="Arial"/>
                <w:color w:val="191919"/>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Vote by Telephone.</w:t>
            </w:r>
            <w:r>
              <w:rPr>
                <w:rFonts w:ascii="Arial" w:hAnsi="Arial"/>
                <w:color w:val="191919"/>
                <w:sz w:val="18"/>
              </w:rPr>
              <w:t xml:space="preserve"> You have the option to vote by telephone by calling 1.800.690.6903 toll-free from the United States and Canada and following the series of voice instructions that will direct you how to vote your shares. Telephone voting is available 24 hours a day, seven days a week, until 11:59 p.m., Eastern Time, on August 26, 2026. </w:t>
            </w:r>
            <w:r>
              <w:rPr>
                <w:rFonts w:ascii="Arial" w:hAnsi="Arial"/>
                <w:b/>
                <w:color w:val="191919"/>
                <w:sz w:val="18"/>
              </w:rPr>
              <w:t>IF YOU VOTE BY TELEPHONE, YOU DO NOT NEED TO RETURN A PROXY CARD.</w:t>
            </w:r>
            <w:r>
              <w:rPr>
                <w:rFonts w:ascii="Arial" w:hAnsi="Arial"/>
                <w:color w:val="191919"/>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 xml:space="preserve">Vote by Mail. </w:t>
            </w:r>
            <w:r>
              <w:rPr>
                <w:rFonts w:ascii="Arial" w:hAnsi="Arial"/>
                <w:color w:val="191919"/>
                <w:sz w:val="18"/>
              </w:rPr>
              <w:t xml:space="preserve">You may mark the proxy card, sign and date it, and return it in the envelope provided as soon as possible before the Annual Meeting. Your signed proxy card must be received before the Annual Meeting for your vote to be counted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10020" w:type="dxa"/>
            <w:tcBorders/>
            <w:vAlign w:val="center"/>
          </w:tcPr>
          <w:p>
            <w:pPr>
              <w:pStyle w:val="TableContents"/>
              <w:bidi w:val="0"/>
              <w:spacing w:before="0" w:after="0"/>
              <w:jc w:val="left"/>
              <w:rPr>
                <w:rFonts w:ascii="Arial" w:hAnsi="Arial"/>
                <w:color w:val="191919"/>
                <w:sz w:val="18"/>
              </w:rPr>
            </w:pPr>
            <w:r>
              <w:rPr>
                <w:rFonts w:ascii="Arial" w:hAnsi="Arial"/>
                <w:b/>
                <w:i/>
                <w:color w:val="191919"/>
                <w:sz w:val="18"/>
              </w:rPr>
              <w:t>Vote during the Annual Meeting.</w:t>
            </w:r>
            <w:r>
              <w:rPr>
                <w:rFonts w:ascii="Arial" w:hAnsi="Arial"/>
                <w:color w:val="191919"/>
                <w:sz w:val="18"/>
              </w:rPr>
              <w:t xml:space="preserve"> You may vote by online ballot during the virtual Annual Meeting by following the instructions posted at www.virtualshareholdermeeting.com/CSW2026. </w:t>
            </w:r>
          </w:p>
        </w:tc>
      </w:tr>
    </w:tbl>
    <w:p>
      <w:pPr>
        <w:pStyle w:val="TextBody"/>
        <w:bidi w:val="0"/>
        <w:spacing w:before="240" w:after="0"/>
        <w:jc w:val="left"/>
        <w:rPr>
          <w:rFonts w:ascii="Arial" w:hAnsi="Arial"/>
          <w:color w:val="191919"/>
          <w:sz w:val="18"/>
        </w:rPr>
      </w:pPr>
      <w:r>
        <w:rPr>
          <w:rFonts w:ascii="Arial" w:hAnsi="Arial"/>
          <w:b/>
          <w:i/>
          <w:color w:val="191919"/>
          <w:sz w:val="18"/>
        </w:rPr>
        <w:t>Participants in the Company’s ESOP.</w:t>
      </w:r>
      <w:r>
        <w:rPr>
          <w:rFonts w:ascii="Arial" w:hAnsi="Arial"/>
          <w:color w:val="191919"/>
          <w:sz w:val="18"/>
        </w:rPr>
        <w:t xml:space="preserve"> Under the terms of the ESOP, Fidelity, the ESOP trustee, votes all shares held by the ESOP, but each participant in the ESOP may direct the trustee how to vote the shares allocated to his or her account. If the trustee does not receive voting instructions from you by 11:59 p.m., Eastern Time, on August 24, 2026, your ESOP shares will be voted as directed by the CSW Industrials, Inc. ESOP Committee. If your shares are held in the ESOP, you may not vote in person at the Annual Meeting. </w:t>
      </w:r>
    </w:p>
    <w:p>
      <w:pPr>
        <w:pStyle w:val="TextBody"/>
        <w:bidi w:val="0"/>
        <w:spacing w:before="360" w:after="0"/>
        <w:jc w:val="left"/>
        <w:rPr>
          <w:rFonts w:ascii="Arial" w:hAnsi="Arial"/>
          <w:b/>
          <w:color w:val="191919"/>
          <w:sz w:val="26"/>
        </w:rPr>
      </w:pPr>
      <w:r>
        <w:rPr>
          <w:rFonts w:ascii="Arial" w:hAnsi="Arial"/>
          <w:b/>
          <w:color w:val="191919"/>
          <w:sz w:val="26"/>
        </w:rPr>
        <w:t xml:space="preserve">Changing Your Vote </w:t>
      </w:r>
    </w:p>
    <w:p>
      <w:pPr>
        <w:pStyle w:val="TextBody"/>
        <w:bidi w:val="0"/>
        <w:spacing w:before="240" w:after="0"/>
        <w:jc w:val="left"/>
        <w:rPr>
          <w:rFonts w:ascii="Arial" w:hAnsi="Arial"/>
          <w:color w:val="191919"/>
          <w:sz w:val="18"/>
        </w:rPr>
      </w:pPr>
      <w:r>
        <w:rPr>
          <w:rFonts w:ascii="Arial" w:hAnsi="Arial"/>
          <w:color w:val="191919"/>
          <w:sz w:val="18"/>
        </w:rPr>
        <w:t xml:space="preserve">If you are a registered shareholder, you may revoke your proxy at any time before it has been exercised at the Annual Meeting by: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611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timely mailing in a revised proxy dated later than the prior submitted proxy;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677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timely notifying the Corporate Secretary in writing that you are revoking your proxy; </w:t>
            </w:r>
          </w:p>
        </w:tc>
      </w:tr>
    </w:tbl>
    <w:p>
      <w:pPr>
        <w:pStyle w:val="TextBody"/>
        <w:bidi w:val="0"/>
        <w:spacing w:before="0" w:after="0"/>
        <w:jc w:val="left"/>
        <w:rPr/>
      </w:pPr>
      <w:r>
        <w:rPr/>
        <w:t> </w:t>
      </w:r>
    </w:p>
    <w:tbl>
      <w:tblPr>
        <w:tblW w:w="4840" w:type="dxa"/>
        <w:jc w:val="left"/>
        <w:tblInd w:w="0" w:type="dxa"/>
        <w:tblLayout w:type="fixed"/>
        <w:tblCellMar>
          <w:top w:w="0" w:type="dxa"/>
          <w:left w:w="0" w:type="dxa"/>
          <w:bottom w:w="0" w:type="dxa"/>
          <w:right w:w="0" w:type="dxa"/>
        </w:tblCellMar>
      </w:tblPr>
      <w:tblGrid>
        <w:gridCol w:w="75"/>
        <w:gridCol w:w="11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4655"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timely casting a new vote by telephone or the Internet; or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7DAC"/>
              </w:rPr>
            </w:pPr>
            <w:r>
              <w:rPr>
                <w:color w:val="0A7DAC"/>
              </w:rPr>
              <w:t>•</w:t>
            </w:r>
          </w:p>
        </w:tc>
        <w:tc>
          <w:tcPr>
            <w:tcW w:w="4280" w:type="dxa"/>
            <w:tcBorders/>
            <w:vAlign w:val="center"/>
          </w:tcPr>
          <w:p>
            <w:pPr>
              <w:pStyle w:val="TableContents"/>
              <w:bidi w:val="0"/>
              <w:spacing w:before="0" w:after="0"/>
              <w:jc w:val="left"/>
              <w:rPr>
                <w:rFonts w:ascii="Arial" w:hAnsi="Arial"/>
                <w:color w:val="191919"/>
                <w:sz w:val="18"/>
              </w:rPr>
            </w:pPr>
            <w:r>
              <w:rPr>
                <w:rFonts w:ascii="Arial" w:hAnsi="Arial"/>
                <w:color w:val="191919"/>
                <w:sz w:val="18"/>
              </w:rPr>
              <w:t xml:space="preserve">voting by online ballot at the virtual Annual Meeting. </w:t>
            </w:r>
          </w:p>
        </w:tc>
      </w:tr>
    </w:tbl>
    <w:p>
      <w:pPr>
        <w:pStyle w:val="TextBody"/>
        <w:bidi w:val="0"/>
        <w:spacing w:before="240" w:after="0"/>
        <w:jc w:val="left"/>
        <w:rPr>
          <w:rFonts w:ascii="Arial" w:hAnsi="Arial"/>
          <w:color w:val="191919"/>
          <w:sz w:val="18"/>
        </w:rPr>
      </w:pPr>
      <w:r>
        <w:rPr>
          <w:rFonts w:ascii="Arial" w:hAnsi="Arial"/>
          <w:color w:val="191919"/>
          <w:sz w:val="18"/>
        </w:rPr>
        <w:t xml:space="preserve">If you are a beneficial shareholder, please contact your bank, broker, or nominee for instructions on how to change your vote. </w:t>
      </w:r>
    </w:p>
    <w:p>
      <w:pPr>
        <w:pStyle w:val="TextBody"/>
        <w:bidi w:val="0"/>
        <w:spacing w:before="360" w:after="0"/>
        <w:jc w:val="left"/>
        <w:rPr>
          <w:rFonts w:ascii="Arial" w:hAnsi="Arial"/>
          <w:b/>
          <w:color w:val="191919"/>
          <w:sz w:val="26"/>
        </w:rPr>
      </w:pPr>
      <w:r>
        <w:rPr>
          <w:rFonts w:ascii="Arial" w:hAnsi="Arial"/>
          <w:b/>
          <w:color w:val="191919"/>
          <w:sz w:val="26"/>
        </w:rPr>
        <w:t xml:space="preserve">Vote Tabulations </w:t>
      </w:r>
    </w:p>
    <w:p>
      <w:pPr>
        <w:pStyle w:val="TextBody"/>
        <w:bidi w:val="0"/>
        <w:spacing w:before="240" w:after="0"/>
        <w:jc w:val="left"/>
        <w:rPr>
          <w:rFonts w:ascii="Arial" w:hAnsi="Arial"/>
          <w:color w:val="191919"/>
          <w:sz w:val="18"/>
        </w:rPr>
      </w:pPr>
      <w:r>
        <w:rPr>
          <w:rFonts w:ascii="Arial" w:hAnsi="Arial"/>
          <w:color w:val="191919"/>
          <w:sz w:val="18"/>
        </w:rPr>
        <w:t xml:space="preserve">Tabulation of voted proxies will be handled by Broadridge, an independent firm. Broadridge is the inspector of elections for the Annual Meeting.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86"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45" descr=""/>
                          <pic:cNvPicPr>
                            <a:picLocks noChangeAspect="1" noChangeArrowheads="1"/>
                          </pic:cNvPicPr>
                        </pic:nvPicPr>
                        <pic:blipFill>
                          <a:blip r:embed="rId353"/>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77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68" w:name="toc36145_42"/>
      <w:bookmarkEnd w:id="68"/>
      <w:r>
        <w:rPr>
          <w:rFonts w:ascii="Arial" w:hAnsi="Arial"/>
          <w:b/>
          <w:color w:val="0A7DAC"/>
          <w:sz w:val="40"/>
        </w:rPr>
        <w:t xml:space="preserve">Other Information About this Solicitation </w:t>
      </w:r>
    </w:p>
    <w:p>
      <w:pPr>
        <w:pStyle w:val="TextBody"/>
        <w:bidi w:val="0"/>
        <w:spacing w:before="240" w:after="0"/>
        <w:jc w:val="left"/>
        <w:rPr>
          <w:rFonts w:ascii="Arial" w:hAnsi="Arial"/>
          <w:b/>
          <w:color w:val="7DB655"/>
          <w:sz w:val="30"/>
        </w:rPr>
      </w:pPr>
      <w:bookmarkStart w:id="69" w:name="toc36145_43"/>
      <w:bookmarkEnd w:id="69"/>
      <w:r>
        <w:rPr>
          <w:rFonts w:ascii="Arial" w:hAnsi="Arial"/>
          <w:b/>
          <w:color w:val="7DB655"/>
          <w:sz w:val="30"/>
        </w:rPr>
        <w:t xml:space="preserve">Cost of Proxy Solicitation </w:t>
      </w:r>
    </w:p>
    <w:p>
      <w:pPr>
        <w:pStyle w:val="TextBody"/>
        <w:bidi w:val="0"/>
        <w:spacing w:before="240" w:after="0"/>
        <w:jc w:val="left"/>
        <w:rPr>
          <w:rFonts w:ascii="Arial" w:hAnsi="Arial"/>
          <w:color w:val="191919"/>
          <w:sz w:val="18"/>
        </w:rPr>
      </w:pPr>
      <w:r>
        <w:rPr>
          <w:rFonts w:ascii="Arial" w:hAnsi="Arial"/>
          <w:color w:val="191919"/>
          <w:sz w:val="18"/>
        </w:rPr>
        <w:t xml:space="preserve">The solicitation of proxies is made by our Board and will be conducted primarily by mail. The Company will reimburse brokerage firms and other custodians, nominees, and fiduciaries for reasonable out-of-pocket expenses that they incur to send proxy materials to shareholders and solicit their votes. In addition to this mailing, proxies may be solicited, without extra compensation, by our officers and employees, by mail, telephone, facsimile, electronic mail, and other methods of communication. The Company bears the full cost of soliciting proxies. The Company has also retained D.F. King for certain advisory services and to aid in the solicitation of proxies, and will ask brokerage houses and other nominees, fiduciaries, and custodians to forward soliciting materials to beneficial owners of the Company’s common stock. For these services, the Company will pay D.F. King a fee of $13,000 plus reimbursement for reasonable out-of-pocket expenses. </w:t>
      </w:r>
    </w:p>
    <w:p>
      <w:pPr>
        <w:pStyle w:val="TextBody"/>
        <w:bidi w:val="0"/>
        <w:spacing w:before="360" w:after="0"/>
        <w:jc w:val="left"/>
        <w:rPr>
          <w:rFonts w:ascii="Arial" w:hAnsi="Arial"/>
          <w:b/>
          <w:color w:val="7DB655"/>
          <w:sz w:val="30"/>
        </w:rPr>
      </w:pPr>
      <w:bookmarkStart w:id="70" w:name="toc36145_44"/>
      <w:bookmarkEnd w:id="70"/>
      <w:r>
        <w:rPr>
          <w:rFonts w:ascii="Arial" w:hAnsi="Arial"/>
          <w:b/>
          <w:color w:val="7DB655"/>
          <w:sz w:val="30"/>
        </w:rPr>
        <w:t xml:space="preserve">Shareholders Sharing an Address </w:t>
      </w:r>
    </w:p>
    <w:p>
      <w:pPr>
        <w:pStyle w:val="TextBody"/>
        <w:bidi w:val="0"/>
        <w:spacing w:before="240" w:after="0"/>
        <w:jc w:val="left"/>
        <w:rPr>
          <w:rFonts w:ascii="Arial" w:hAnsi="Arial"/>
          <w:color w:val="191919"/>
          <w:sz w:val="18"/>
        </w:rPr>
      </w:pPr>
      <w:r>
        <w:rPr>
          <w:rFonts w:ascii="Arial" w:hAnsi="Arial"/>
          <w:color w:val="191919"/>
          <w:sz w:val="18"/>
        </w:rPr>
        <w:t xml:space="preserve">To reduce the expenses of delivering duplicate proxy materials, we deliver one annual report and proxy statement to multiple shareholders sharing the same mailing address unless otherwise requested. This is referred to as “householding.” We will promptly send a separate annual report and proxy statement to a shareholder at a shared address upon request at no cost. Shareholders with a shared address may also request that we send a single copy of these materials in the future if we are currently sending multiple copies to the same address. Requests related to delivery of proxy materials may be made by calling our Investor Relations department at 214.489.7113 or by writing to CSW Industrials, Inc., Attention: Investor Relations, 5420 Lyndon B. Johnson Freeway, Suite 500, Dallas, Texas 75240. Shareholders who hold shares in “street name” may contact their brokerage firm, bank, or other nominee to request information about householding. </w:t>
      </w:r>
    </w:p>
    <w:p>
      <w:pPr>
        <w:pStyle w:val="TextBody"/>
        <w:bidi w:val="0"/>
        <w:spacing w:before="360" w:after="0"/>
        <w:jc w:val="left"/>
        <w:rPr>
          <w:rFonts w:ascii="Arial" w:hAnsi="Arial"/>
          <w:b/>
          <w:color w:val="7DB655"/>
          <w:sz w:val="30"/>
        </w:rPr>
      </w:pPr>
      <w:bookmarkStart w:id="71" w:name="toc36145_45"/>
      <w:bookmarkEnd w:id="71"/>
      <w:r>
        <w:rPr>
          <w:rFonts w:ascii="Arial" w:hAnsi="Arial"/>
          <w:b/>
          <w:color w:val="7DB655"/>
          <w:sz w:val="30"/>
        </w:rPr>
        <w:t xml:space="preserve">Shareholder Proposals and Nominations </w:t>
      </w:r>
    </w:p>
    <w:p>
      <w:pPr>
        <w:pStyle w:val="TextBody"/>
        <w:bidi w:val="0"/>
        <w:spacing w:before="240" w:after="0"/>
        <w:jc w:val="left"/>
        <w:rPr>
          <w:rFonts w:ascii="Arial" w:hAnsi="Arial"/>
          <w:color w:val="191919"/>
          <w:sz w:val="18"/>
        </w:rPr>
      </w:pPr>
      <w:r>
        <w:rPr>
          <w:rFonts w:ascii="Arial" w:hAnsi="Arial"/>
          <w:color w:val="191919"/>
          <w:sz w:val="18"/>
        </w:rPr>
        <w:t xml:space="preserve">SEC rules provide that certain shareholder proposals may be eligible for inclusion in our 2027 proxy statement. These shareholder proposals must comply with the requirements of Rule 14a-8, including a requirement we receive such proposals no later than March 19, 2027. We strongly encourage any shareholder interested in submitting a proposal to contact the Corporate Secretary at the address below in advance of this deadline to discuss the proposal. The N&amp;CG Committee reviews all shareholder proposals and makes recommendations to the Board for responsive action. </w:t>
      </w:r>
    </w:p>
    <w:p>
      <w:pPr>
        <w:pStyle w:val="TextBody"/>
        <w:bidi w:val="0"/>
        <w:spacing w:before="240" w:after="0"/>
        <w:jc w:val="left"/>
        <w:rPr>
          <w:rFonts w:ascii="Arial" w:hAnsi="Arial"/>
          <w:color w:val="191919"/>
          <w:sz w:val="18"/>
        </w:rPr>
      </w:pPr>
      <w:r>
        <w:rPr>
          <w:rFonts w:ascii="Arial" w:hAnsi="Arial"/>
          <w:color w:val="191919"/>
          <w:sz w:val="18"/>
        </w:rPr>
        <w:t xml:space="preserve">Alternatively, under the Company’s Bylaws, if a shareholder does not want to submit a proposal for inclusion in our proxy statement but wants to introduce it at our 2027 annual meeting of shareholders, or intends to nominate a person for election to the Board directly (rather than by recommending such person as a candidate to our N&amp;CG Committee), the shareholder must submit the proposal or nomination in writing at the address below between April 29, 2027, and May 29, 2027. However, if the 2027 annual meeting of shareholders is held more than 30 days before or more than 30 days after the anniversary of the 2026 Annual Meeting, the shareholder must submit any such proposal no later than the 90th calendar day prior to the 2027 annual meeting of shareholders or 10 days following the date on which the date of the 2027 annual meeting of shareholders is publicly announced. Any such submission must be made by a registered shareholder on the shareholder’s own behalf or on behalf of a beneficial owner of our common stock and must include detailed information specified in our Bylaws concerning the proposal or nominee, as the case may be, and detailed information as to the shareholder’s interests in Company securities. We will not entertain any proposals or nominations at the 2027 annual meeting of shareholders that do not meet these requirements. </w:t>
      </w:r>
    </w:p>
    <w:p>
      <w:pPr>
        <w:pStyle w:val="TextBody"/>
        <w:bidi w:val="0"/>
        <w:spacing w:before="0" w:after="0"/>
        <w:jc w:val="left"/>
        <w:rPr/>
      </w:pPr>
      <w:r>
        <w:rPr/>
        <w:t> </w:t>
      </w:r>
    </w:p>
    <w:tbl>
      <w:tblPr>
        <w:tblW w:w="3858" w:type="dxa"/>
        <w:jc w:val="left"/>
        <w:tblInd w:w="0" w:type="dxa"/>
        <w:tblLayout w:type="fixed"/>
        <w:tblCellMar>
          <w:top w:w="0" w:type="dxa"/>
          <w:left w:w="0" w:type="dxa"/>
          <w:bottom w:w="0" w:type="dxa"/>
          <w:right w:w="0" w:type="dxa"/>
        </w:tblCellMar>
      </w:tblPr>
      <w:tblGrid>
        <w:gridCol w:w="75"/>
        <w:gridCol w:w="230"/>
        <w:gridCol w:w="60"/>
        <w:gridCol w:w="60"/>
        <w:gridCol w:w="1424"/>
        <w:gridCol w:w="60"/>
        <w:gridCol w:w="1625"/>
        <w:gridCol w:w="60"/>
        <w:gridCol w:w="23"/>
        <w:gridCol w:w="60"/>
        <w:gridCol w:w="23"/>
        <w:gridCol w:w="120"/>
        <w:gridCol w:w="38"/>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left"/>
              <w:rPr/>
            </w:pPr>
            <w:r>
              <w:rPr/>
              <w:drawing>
                <wp:inline distT="0" distB="0" distL="0" distR="0">
                  <wp:extent cx="866140" cy="263525"/>
                  <wp:effectExtent l="0" t="0" r="0" b="0"/>
                  <wp:docPr id="387"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46" descr=""/>
                          <pic:cNvPicPr>
                            <a:picLocks noChangeAspect="1" noChangeArrowheads="1"/>
                          </pic:cNvPicPr>
                        </pic:nvPicPr>
                        <pic:blipFill>
                          <a:blip r:embed="rId354"/>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left"/>
              <w:rPr/>
            </w:pPr>
            <w:r>
              <w:rPr>
                <w:color w:val="7DB655"/>
              </w:rPr>
              <w:t> </w:t>
            </w:r>
            <w:r>
              <w:rPr>
                <w:rFonts w:ascii="Arial" w:hAnsi="Arial"/>
                <w:color w:val="7DB655"/>
                <w:sz w:val="14"/>
              </w:rPr>
              <w:t>|</w:t>
            </w:r>
            <w:r>
              <w:rPr>
                <w:rFonts w:ascii="Arial" w:hAnsi="Arial"/>
                <w:sz w:val="14"/>
              </w:rPr>
              <w:t> 2026 Proxy Statement</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color w:val="7DB655"/>
          <w:sz w:val="16"/>
        </w:rPr>
      </w:pPr>
      <w:r>
        <w:rPr>
          <w:rFonts w:ascii="Arial" w:hAnsi="Arial"/>
          <w:color w:val="7DB655"/>
          <w:sz w:val="16"/>
        </w:rPr>
        <w:t xml:space="preserve">Other Information About this Solicitation </w:t>
      </w:r>
    </w:p>
    <w:p>
      <w:pPr>
        <w:pStyle w:val="TextBody"/>
        <w:bidi w:val="0"/>
        <w:spacing w:before="0" w:after="0"/>
        <w:jc w:val="right"/>
        <w:rPr>
          <w:rFonts w:ascii="Arial" w:hAnsi="Arial"/>
          <w:sz w:val="16"/>
        </w:rPr>
      </w:pPr>
      <w:r>
        <w:rPr>
          <w:rFonts w:ascii="Arial" w:hAnsi="Arial"/>
          <w:sz w:val="16"/>
        </w:rPr>
        <w:t xml:space="preserve">Shareholder Proposals and Nominations </w:t>
      </w:r>
    </w:p>
    <w:p>
      <w:pPr>
        <w:pStyle w:val="TextBody"/>
        <w:bidi w:val="0"/>
        <w:spacing w:before="0" w:after="0"/>
        <w:jc w:val="left"/>
        <w:rPr/>
      </w:pPr>
      <w:r>
        <w:rPr/>
        <w:t> </w:t>
      </w:r>
    </w:p>
    <w:p>
      <w:pPr>
        <w:pStyle w:val="TextBody"/>
        <w:bidi w:val="0"/>
        <w:spacing w:before="0" w:after="0"/>
        <w:jc w:val="left"/>
        <w:rPr>
          <w:rFonts w:ascii="Arial" w:hAnsi="Arial"/>
          <w:color w:val="191919"/>
          <w:sz w:val="18"/>
        </w:rPr>
      </w:pPr>
      <w:r>
        <w:rPr>
          <w:rFonts w:ascii="Arial" w:hAnsi="Arial"/>
          <w:color w:val="191919"/>
          <w:sz w:val="18"/>
        </w:rPr>
        <w:t xml:space="preserve">To comply with the universal proxy rules, shareholders who intend to solicit proxies in support of director nominees for the 2027 annual meeting of shareholders must provide notice that sets forth the information required by Rule 14a-19 under the Exchange Act, and, pursuant to the Company’s Bylaws, such notice must be provided within the same time frame as any Rule 14a-8 proposal. If the shareholder does not comply with the requirements of the SEC, we may exercise discretionary voting authority under proxies that we solicit to vote in accordance with our best judgment on any such shareholder proposal or nomination. The Company’s Bylaws are posted on our website at </w:t>
      </w:r>
      <w:r>
        <w:rPr>
          <w:rFonts w:ascii="Arial" w:hAnsi="Arial"/>
          <w:b/>
          <w:color w:val="191919"/>
          <w:sz w:val="18"/>
        </w:rPr>
        <w:t>www.csw.com</w:t>
      </w:r>
      <w:r>
        <w:rPr>
          <w:rFonts w:ascii="Arial" w:hAnsi="Arial"/>
          <w:color w:val="191919"/>
          <w:sz w:val="18"/>
        </w:rPr>
        <w:t xml:space="preserve"> under “Investors — Corporate Governance.” To make a submission or to request a copy of the Company’s Bylaws at no charge, shareholders should contact our Corporate Secretary at the following address: </w:t>
      </w:r>
    </w:p>
    <w:p>
      <w:pPr>
        <w:pStyle w:val="TextBody"/>
        <w:bidi w:val="0"/>
        <w:spacing w:before="240" w:after="0"/>
        <w:jc w:val="center"/>
        <w:rPr>
          <w:rFonts w:ascii="Arial" w:hAnsi="Arial"/>
          <w:b/>
          <w:color w:val="191919"/>
          <w:sz w:val="18"/>
        </w:rPr>
      </w:pPr>
      <w:r>
        <w:rPr>
          <w:rFonts w:ascii="Arial" w:hAnsi="Arial"/>
          <w:b/>
          <w:color w:val="191919"/>
          <w:sz w:val="18"/>
        </w:rPr>
        <w:t xml:space="preserve">CSW Industrials, Inc. </w:t>
      </w:r>
    </w:p>
    <w:p>
      <w:pPr>
        <w:pStyle w:val="TextBody"/>
        <w:bidi w:val="0"/>
        <w:spacing w:before="0" w:after="0"/>
        <w:jc w:val="center"/>
        <w:rPr>
          <w:rFonts w:ascii="Arial" w:hAnsi="Arial"/>
          <w:color w:val="191919"/>
          <w:sz w:val="18"/>
        </w:rPr>
      </w:pPr>
      <w:r>
        <w:rPr>
          <w:rFonts w:ascii="Arial" w:hAnsi="Arial"/>
          <w:color w:val="191919"/>
          <w:sz w:val="18"/>
        </w:rPr>
        <w:t xml:space="preserve">5420 Lyndon B. Johnson Freeway, Suite 500 </w:t>
      </w:r>
    </w:p>
    <w:p>
      <w:pPr>
        <w:pStyle w:val="TextBody"/>
        <w:bidi w:val="0"/>
        <w:spacing w:before="0" w:after="0"/>
        <w:jc w:val="center"/>
        <w:rPr>
          <w:rFonts w:ascii="Arial" w:hAnsi="Arial"/>
          <w:color w:val="191919"/>
          <w:sz w:val="18"/>
        </w:rPr>
      </w:pPr>
      <w:r>
        <w:rPr>
          <w:rFonts w:ascii="Arial" w:hAnsi="Arial"/>
          <w:color w:val="191919"/>
          <w:sz w:val="18"/>
        </w:rPr>
        <w:t xml:space="preserve">Dallas, Texas 75240 </w:t>
      </w:r>
    </w:p>
    <w:p>
      <w:pPr>
        <w:pStyle w:val="TextBody"/>
        <w:bidi w:val="0"/>
        <w:spacing w:before="0" w:after="0"/>
        <w:jc w:val="center"/>
        <w:rPr>
          <w:rFonts w:ascii="Arial" w:hAnsi="Arial"/>
          <w:color w:val="191919"/>
          <w:sz w:val="18"/>
        </w:rPr>
      </w:pPr>
      <w:r>
        <w:rPr>
          <w:rFonts w:ascii="Arial" w:hAnsi="Arial"/>
          <w:color w:val="191919"/>
          <w:sz w:val="18"/>
        </w:rPr>
        <w:t xml:space="preserve">Attention: Corporate Secretary </w:t>
      </w:r>
    </w:p>
    <w:p>
      <w:pPr>
        <w:pStyle w:val="TextBody"/>
        <w:bidi w:val="0"/>
        <w:spacing w:before="0" w:after="0"/>
        <w:jc w:val="left"/>
        <w:rPr/>
      </w:pPr>
      <w:r>
        <w:rPr/>
        <w:t> </w:t>
      </w:r>
    </w:p>
    <w:tbl>
      <w:tblPr>
        <w:tblW w:w="3768"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88"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47" descr=""/>
                          <pic:cNvPicPr>
                            <a:picLocks noChangeAspect="1" noChangeArrowheads="1"/>
                          </pic:cNvPicPr>
                        </pic:nvPicPr>
                        <pic:blipFill>
                          <a:blip r:embed="rId355"/>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79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0A7DAC"/>
          <w:sz w:val="40"/>
        </w:rPr>
      </w:pPr>
      <w:bookmarkStart w:id="72" w:name="toc36145_46"/>
      <w:bookmarkEnd w:id="72"/>
      <w:r>
        <w:rPr>
          <w:rFonts w:ascii="Arial" w:hAnsi="Arial"/>
          <w:b/>
          <w:color w:val="0A7DAC"/>
          <w:sz w:val="40"/>
        </w:rPr>
        <w:t xml:space="preserve">Exhibit A </w:t>
      </w:r>
    </w:p>
    <w:p>
      <w:pPr>
        <w:pStyle w:val="TextBody"/>
        <w:bidi w:val="0"/>
        <w:spacing w:before="240" w:after="0"/>
        <w:jc w:val="left"/>
        <w:rPr>
          <w:rFonts w:ascii="Arial" w:hAnsi="Arial"/>
          <w:b/>
          <w:color w:val="7DB655"/>
          <w:sz w:val="30"/>
        </w:rPr>
      </w:pPr>
      <w:bookmarkStart w:id="73" w:name="toc36145_47"/>
      <w:bookmarkEnd w:id="73"/>
      <w:r>
        <w:rPr>
          <w:rFonts w:ascii="Arial" w:hAnsi="Arial"/>
          <w:b/>
          <w:color w:val="7DB655"/>
          <w:sz w:val="30"/>
        </w:rPr>
        <w:t xml:space="preserve">GAAP to Non-GAAP Reconciliations </w:t>
      </w:r>
    </w:p>
    <w:p>
      <w:pPr>
        <w:pStyle w:val="TextBody"/>
        <w:bidi w:val="0"/>
        <w:spacing w:before="240" w:after="0"/>
        <w:jc w:val="center"/>
        <w:rPr>
          <w:rFonts w:ascii="Arial" w:hAnsi="Arial"/>
          <w:color w:val="191919"/>
          <w:sz w:val="18"/>
        </w:rPr>
      </w:pPr>
      <w:r>
        <w:rPr>
          <w:rFonts w:ascii="Arial" w:hAnsi="Arial"/>
          <w:b/>
          <w:color w:val="191919"/>
          <w:sz w:val="18"/>
        </w:rPr>
        <w:t>RECONCILIATION OF NET INCOME TO ADJUSTED EBITDA</w:t>
      </w:r>
      <w:r>
        <w:rPr>
          <w:rFonts w:ascii="Arial" w:hAnsi="Arial"/>
          <w:color w:val="191919"/>
          <w:sz w:val="18"/>
        </w:rPr>
        <w:t xml:space="preserve"> </w:t>
      </w:r>
    </w:p>
    <w:p>
      <w:pPr>
        <w:pStyle w:val="TextBody"/>
        <w:bidi w:val="0"/>
        <w:spacing w:before="0" w:after="0"/>
        <w:jc w:val="center"/>
        <w:rPr>
          <w:rFonts w:ascii="Arial" w:hAnsi="Arial"/>
          <w:color w:val="191919"/>
          <w:sz w:val="18"/>
        </w:rPr>
      </w:pPr>
      <w:r>
        <w:rPr>
          <w:rFonts w:ascii="Arial" w:hAnsi="Arial"/>
          <w:b/>
          <w:color w:val="191919"/>
          <w:sz w:val="18"/>
        </w:rPr>
        <w:t>(Unaudited)</w:t>
      </w:r>
      <w:r>
        <w:rPr>
          <w:rFonts w:ascii="Arial" w:hAnsi="Arial"/>
          <w:color w:val="191919"/>
          <w:sz w:val="18"/>
        </w:rPr>
        <w:t xml:space="preserve"> </w:t>
      </w:r>
    </w:p>
    <w:p>
      <w:pPr>
        <w:pStyle w:val="TextBody"/>
        <w:bidi w:val="0"/>
        <w:spacing w:before="0" w:after="0"/>
        <w:jc w:val="left"/>
        <w:rPr/>
      </w:pPr>
      <w:r>
        <w:rPr/>
        <w:t> </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3905"/>
        <w:gridCol w:w="120"/>
        <w:gridCol w:w="140"/>
        <w:gridCol w:w="800"/>
        <w:gridCol w:w="60"/>
        <w:gridCol w:w="120"/>
        <w:gridCol w:w="140"/>
        <w:gridCol w:w="800"/>
        <w:gridCol w:w="60"/>
        <w:gridCol w:w="120"/>
        <w:gridCol w:w="140"/>
        <w:gridCol w:w="800"/>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top w:val="single" w:sz="6" w:space="0" w:color="7DB655"/>
            </w:tcBorders>
            <w:tcMar>
              <w:top w:w="28" w:type="dxa"/>
            </w:tcMar>
            <w:vAlign w:val="center"/>
          </w:tcPr>
          <w:p>
            <w:pPr>
              <w:pStyle w:val="TableContents"/>
              <w:bidi w:val="0"/>
              <w:spacing w:before="0" w:after="283"/>
              <w:jc w:val="left"/>
              <w:rPr/>
            </w:pPr>
            <w:r>
              <w:rPr/>
              <w:t> </w:t>
            </w:r>
          </w:p>
        </w:tc>
        <w:tc>
          <w:tcPr>
            <w:tcW w:w="3375" w:type="dxa"/>
            <w:gridSpan w:val="12"/>
            <w:tcBorders>
              <w:top w:val="single" w:sz="6" w:space="0" w:color="7DB655"/>
            </w:tcBorders>
            <w:tcMar>
              <w:top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bottom w:val="single" w:sz="6" w:space="0" w:color="7DB655"/>
            </w:tcBorders>
            <w:tcMar>
              <w:bottom w:w="28" w:type="dxa"/>
            </w:tcMar>
            <w:vAlign w:val="center"/>
          </w:tcPr>
          <w:p>
            <w:pPr>
              <w:pStyle w:val="TableContents"/>
              <w:bidi w:val="0"/>
              <w:spacing w:before="0" w:after="283"/>
              <w:jc w:val="left"/>
              <w:rPr/>
            </w:pPr>
            <w:r>
              <w:rPr/>
              <w:t>  </w:t>
            </w:r>
          </w:p>
        </w:tc>
        <w:tc>
          <w:tcPr>
            <w:tcW w:w="3180" w:type="dxa"/>
            <w:gridSpan w:val="10"/>
            <w:tcBorders>
              <w:bottom w:val="single" w:sz="6" w:space="0" w:color="7DB655"/>
            </w:tcBorders>
            <w:tcMar>
              <w:bottom w:w="60" w:type="dxa"/>
            </w:tcMar>
            <w:vAlign w:val="center"/>
          </w:tcPr>
          <w:p>
            <w:pPr>
              <w:pStyle w:val="TableContents"/>
              <w:bidi w:val="0"/>
              <w:spacing w:before="0" w:after="283"/>
              <w:jc w:val="center"/>
              <w:rPr>
                <w:b/>
                <w:color w:val="191919"/>
              </w:rPr>
            </w:pPr>
            <w:r>
              <w:rPr>
                <w:b/>
                <w:color w:val="191919"/>
              </w:rPr>
              <w:t>Fiscal Year Ended March 31,</w:t>
            </w:r>
          </w:p>
        </w:tc>
        <w:tc>
          <w:tcPr>
            <w:tcW w:w="75" w:type="dxa"/>
            <w:tcBorders>
              <w:bottom w:val="single" w:sz="6" w:space="0" w:color="7DB655"/>
            </w:tcBorders>
            <w:tcMar>
              <w:bottom w:w="28" w:type="dxa"/>
            </w:tcMar>
            <w:vAlign w:val="center"/>
          </w:tcPr>
          <w:p>
            <w:pPr>
              <w:pStyle w:val="TableContents"/>
              <w:bidi w:val="0"/>
              <w:spacing w:before="0" w:after="283"/>
              <w:jc w:val="left"/>
              <w:rPr/>
            </w:pPr>
            <w:r>
              <w:rPr/>
              <w:t> </w:t>
            </w:r>
          </w:p>
        </w:tc>
      </w:tr>
      <w:tr>
        <w:trPr/>
        <w:tc>
          <w:tcPr>
            <w:tcW w:w="3905" w:type="dxa"/>
            <w:tcBorders>
              <w:bottom w:val="single" w:sz="56" w:space="0" w:color="7DB655"/>
            </w:tcBorders>
            <w:tcMar>
              <w:bottom w:w="60" w:type="dxa"/>
            </w:tcMar>
            <w:vAlign w:val="center"/>
          </w:tcPr>
          <w:p>
            <w:pPr>
              <w:pStyle w:val="TableContents"/>
              <w:bidi w:val="0"/>
              <w:spacing w:before="0" w:after="0"/>
              <w:jc w:val="left"/>
              <w:rPr>
                <w:rFonts w:ascii="Arial" w:hAnsi="Arial"/>
                <w:b/>
                <w:color w:val="191919"/>
                <w:sz w:val="15"/>
              </w:rPr>
            </w:pPr>
            <w:r>
              <w:rPr>
                <w:rFonts w:ascii="Arial" w:hAnsi="Arial"/>
                <w:b/>
                <w:color w:val="191919"/>
                <w:sz w:val="15"/>
              </w:rPr>
              <w:t>(Amounts in thousands)</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940"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2026</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940"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2025</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120" w:type="dxa"/>
            <w:tcBorders>
              <w:bottom w:val="single" w:sz="56" w:space="0" w:color="7DB655"/>
            </w:tcBorders>
            <w:tcMar>
              <w:bottom w:w="28" w:type="dxa"/>
            </w:tcMar>
            <w:vAlign w:val="center"/>
          </w:tcPr>
          <w:p>
            <w:pPr>
              <w:pStyle w:val="TableContents"/>
              <w:bidi w:val="0"/>
              <w:spacing w:before="0" w:after="283"/>
              <w:jc w:val="left"/>
              <w:rPr/>
            </w:pPr>
            <w:r>
              <w:rPr/>
              <w:t>  </w:t>
            </w:r>
          </w:p>
        </w:tc>
        <w:tc>
          <w:tcPr>
            <w:tcW w:w="940" w:type="dxa"/>
            <w:gridSpan w:val="2"/>
            <w:tcBorders>
              <w:bottom w:val="single" w:sz="56" w:space="0" w:color="7DB655"/>
            </w:tcBorders>
            <w:tcMar>
              <w:bottom w:w="60" w:type="dxa"/>
            </w:tcMar>
            <w:vAlign w:val="center"/>
          </w:tcPr>
          <w:p>
            <w:pPr>
              <w:pStyle w:val="TableContents"/>
              <w:bidi w:val="0"/>
              <w:spacing w:before="0" w:after="283"/>
              <w:jc w:val="center"/>
              <w:rPr>
                <w:b/>
                <w:color w:val="191919"/>
              </w:rPr>
            </w:pPr>
            <w:r>
              <w:rPr>
                <w:b/>
                <w:color w:val="191919"/>
              </w:rPr>
              <w:t>2024</w:t>
            </w:r>
          </w:p>
        </w:tc>
        <w:tc>
          <w:tcPr>
            <w:tcW w:w="75" w:type="dxa"/>
            <w:tcBorders>
              <w:bottom w:val="single" w:sz="56" w:space="0" w:color="7DB655"/>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GAAP Net Income attributable to CSW</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w:t>
            </w:r>
          </w:p>
        </w:tc>
        <w:tc>
          <w:tcPr>
            <w:tcW w:w="800" w:type="dxa"/>
            <w:tcBorders/>
            <w:vAlign w:val="center"/>
          </w:tcPr>
          <w:p>
            <w:pPr>
              <w:pStyle w:val="TableContents"/>
              <w:bidi w:val="0"/>
              <w:spacing w:before="0" w:after="283"/>
              <w:jc w:val="right"/>
              <w:rPr>
                <w:color w:val="191919"/>
              </w:rPr>
            </w:pPr>
            <w:r>
              <w:rPr>
                <w:color w:val="191919"/>
              </w:rPr>
              <w:t>112,045</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w:t>
            </w:r>
          </w:p>
        </w:tc>
        <w:tc>
          <w:tcPr>
            <w:tcW w:w="800" w:type="dxa"/>
            <w:tcBorders/>
            <w:vAlign w:val="center"/>
          </w:tcPr>
          <w:p>
            <w:pPr>
              <w:pStyle w:val="TableContents"/>
              <w:bidi w:val="0"/>
              <w:spacing w:before="0" w:after="283"/>
              <w:jc w:val="right"/>
              <w:rPr>
                <w:color w:val="191919"/>
              </w:rPr>
            </w:pPr>
            <w:r>
              <w:rPr>
                <w:color w:val="191919"/>
              </w:rPr>
              <w:t>136,652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w:t>
            </w:r>
          </w:p>
        </w:tc>
        <w:tc>
          <w:tcPr>
            <w:tcW w:w="800" w:type="dxa"/>
            <w:tcBorders/>
            <w:vAlign w:val="center"/>
          </w:tcPr>
          <w:p>
            <w:pPr>
              <w:pStyle w:val="TableContents"/>
              <w:bidi w:val="0"/>
              <w:spacing w:before="0" w:after="283"/>
              <w:jc w:val="right"/>
              <w:rPr>
                <w:color w:val="191919"/>
              </w:rPr>
            </w:pPr>
            <w:r>
              <w:rPr>
                <w:color w:val="191919"/>
              </w:rPr>
              <w:t>101,648</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Plus: Income attributable to redeemable noncontrolling interest</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802</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832</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891</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GAAP Net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112,846</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137,484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102,539</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Adjusting items:</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22,245</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269</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12,723</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Income Tax Expense</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32,706</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42,633</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37,942</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Depreciation &amp;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67,071</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42,223</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38,289</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Greco Impairment Expense</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15,627</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center"/>
              <w:rPr>
                <w:color w:val="191919"/>
              </w:rPr>
            </w:pPr>
            <w:r>
              <w:rPr>
                <w:color w:val="191919"/>
              </w:rPr>
              <w:t>—</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EBITDA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250,496</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222,608</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191,492</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Adjusting Items:</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Acquisition-Related Integration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7,664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Nonrecurring Inventory Write Down</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3,135</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center"/>
              <w:rPr>
                <w:color w:val="191919"/>
              </w:rPr>
            </w:pPr>
            <w:r>
              <w:rPr>
                <w:color w:val="191919"/>
              </w:rPr>
              <w:t>—</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Nonrecurring Restructuring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542</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Reversal of Tax Indemnification Receivable</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1,406</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858</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8,519</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Acquisition-Related Transaction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4,265</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2,294</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Greco Canada exit related expenses</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right"/>
              <w:rPr>
                <w:color w:val="191919"/>
              </w:rPr>
            </w:pPr>
            <w:r>
              <w:rPr>
                <w:color w:val="191919"/>
              </w:rPr>
              <w:t>2,130</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center"/>
              <w:rPr>
                <w:color w:val="191919"/>
              </w:rPr>
            </w:pPr>
            <w:r>
              <w:rPr>
                <w:color w:val="191919"/>
              </w:rPr>
              <w:t>—</w:t>
            </w:r>
          </w:p>
        </w:tc>
        <w:tc>
          <w:tcPr>
            <w:tcW w:w="60" w:type="dxa"/>
            <w:tcBorders/>
            <w:shd w:fill="EDEDED" w:val="clear"/>
            <w:vAlign w:val="center"/>
          </w:tcPr>
          <w:p>
            <w:pPr>
              <w:pStyle w:val="TableContents"/>
              <w:bidi w:val="0"/>
              <w:spacing w:before="0" w:after="283"/>
              <w:jc w:val="left"/>
              <w:rPr>
                <w:color w:val="191919"/>
              </w:rPr>
            </w:pPr>
            <w:r>
              <w:rPr>
                <w:color w:val="191919"/>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color w:val="191919"/>
              </w:rPr>
            </w:pPr>
            <w:r>
              <w:rPr>
                <w:color w:val="191919"/>
              </w:rPr>
              <w:t> </w:t>
            </w:r>
          </w:p>
        </w:tc>
        <w:tc>
          <w:tcPr>
            <w:tcW w:w="800" w:type="dxa"/>
            <w:tcBorders/>
            <w:shd w:fill="EDEDED" w:val="clear"/>
            <w:vAlign w:val="center"/>
          </w:tcPr>
          <w:p>
            <w:pPr>
              <w:pStyle w:val="TableContents"/>
              <w:bidi w:val="0"/>
              <w:spacing w:before="0" w:after="283"/>
              <w:jc w:val="center"/>
              <w:rPr>
                <w:color w:val="191919"/>
              </w:rPr>
            </w:pPr>
            <w:r>
              <w:rPr>
                <w:color w:val="191919"/>
              </w:rPr>
              <w:t>—</w:t>
            </w:r>
          </w:p>
        </w:tc>
        <w:tc>
          <w:tcPr>
            <w:tcW w:w="75" w:type="dxa"/>
            <w:tcBorders/>
            <w:shd w:fill="EDEDED" w:val="clear"/>
            <w:vAlign w:val="center"/>
          </w:tcPr>
          <w:p>
            <w:pPr>
              <w:pStyle w:val="TableContents"/>
              <w:bidi w:val="0"/>
              <w:spacing w:before="0" w:after="283"/>
              <w:jc w:val="left"/>
              <w:rPr>
                <w:color w:val="191919"/>
              </w:rPr>
            </w:pPr>
            <w:r>
              <w:rPr>
                <w:color w:val="191919"/>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Fair value change in contingent consideration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right"/>
              <w:rPr>
                <w:color w:val="191919"/>
              </w:rPr>
            </w:pPr>
            <w:r>
              <w:rPr>
                <w:color w:val="191919"/>
              </w:rPr>
              <w:t>2,100</w:t>
            </w:r>
          </w:p>
        </w:tc>
        <w:tc>
          <w:tcPr>
            <w:tcW w:w="60" w:type="dxa"/>
            <w:tcBorders/>
            <w:vAlign w:val="center"/>
          </w:tcPr>
          <w:p>
            <w:pPr>
              <w:pStyle w:val="TableContents"/>
              <w:bidi w:val="0"/>
              <w:spacing w:before="0" w:after="283"/>
              <w:jc w:val="left"/>
              <w:rPr>
                <w:color w:val="191919"/>
              </w:rPr>
            </w:pPr>
            <w:r>
              <w:rPr>
                <w:color w:val="191919"/>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191919"/>
              </w:rPr>
            </w:pPr>
            <w:r>
              <w:rPr>
                <w:color w:val="191919"/>
              </w:rPr>
              <w:t> </w:t>
            </w:r>
          </w:p>
        </w:tc>
        <w:tc>
          <w:tcPr>
            <w:tcW w:w="800" w:type="dxa"/>
            <w:tcBorders/>
            <w:vAlign w:val="center"/>
          </w:tcPr>
          <w:p>
            <w:pPr>
              <w:pStyle w:val="TableContents"/>
              <w:bidi w:val="0"/>
              <w:spacing w:before="0" w:after="283"/>
              <w:jc w:val="center"/>
              <w:rPr>
                <w:color w:val="191919"/>
              </w:rPr>
            </w:pPr>
            <w:r>
              <w:rPr>
                <w:color w:val="191919"/>
              </w:rPr>
              <w:t>—</w:t>
            </w:r>
          </w:p>
        </w:tc>
        <w:tc>
          <w:tcPr>
            <w:tcW w:w="75" w:type="dxa"/>
            <w:tcBorders/>
            <w:vAlign w:val="center"/>
          </w:tcPr>
          <w:p>
            <w:pPr>
              <w:pStyle w:val="TableContents"/>
              <w:bidi w:val="0"/>
              <w:spacing w:before="0" w:after="283"/>
              <w:jc w:val="left"/>
              <w:rPr>
                <w:color w:val="191919"/>
              </w:rPr>
            </w:pPr>
            <w:r>
              <w:rPr>
                <w:color w:val="191919"/>
              </w:rPr>
              <w:t> </w:t>
            </w:r>
          </w:p>
        </w:tc>
      </w:tr>
      <w:tr>
        <w:trPr/>
        <w:tc>
          <w:tcPr>
            <w:tcW w:w="3905" w:type="dxa"/>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05" w:type="dxa"/>
            <w:tcBorders>
              <w:bottom w:val="single" w:sz="6" w:space="0" w:color="7DB655"/>
            </w:tcBorders>
            <w:shd w:fill="EDEDED" w:val="clear"/>
            <w:tcMar>
              <w:bottom w:w="60" w:type="dxa"/>
            </w:tcMar>
            <w:vAlign w:val="center"/>
          </w:tcPr>
          <w:p>
            <w:pPr>
              <w:pStyle w:val="TableContents"/>
              <w:bidi w:val="0"/>
              <w:spacing w:before="0" w:after="0"/>
              <w:jc w:val="left"/>
              <w:rPr>
                <w:rFonts w:ascii="Arial" w:hAnsi="Arial"/>
                <w:color w:val="191919"/>
                <w:sz w:val="16"/>
              </w:rPr>
            </w:pPr>
            <w:r>
              <w:rPr>
                <w:rFonts w:ascii="Arial" w:hAnsi="Arial"/>
                <w:color w:val="191919"/>
                <w:sz w:val="16"/>
              </w:rPr>
              <w:t>Adjusted EBITDA</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40"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w:t>
            </w:r>
          </w:p>
        </w:tc>
        <w:tc>
          <w:tcPr>
            <w:tcW w:w="800" w:type="dxa"/>
            <w:tcBorders>
              <w:bottom w:val="single" w:sz="6" w:space="0" w:color="7DB655"/>
            </w:tcBorders>
            <w:shd w:fill="EDEDED" w:val="clear"/>
            <w:tcMar>
              <w:bottom w:w="60" w:type="dxa"/>
            </w:tcMar>
            <w:vAlign w:val="center"/>
          </w:tcPr>
          <w:p>
            <w:pPr>
              <w:pStyle w:val="TableContents"/>
              <w:bidi w:val="0"/>
              <w:spacing w:before="0" w:after="283"/>
              <w:jc w:val="right"/>
              <w:rPr>
                <w:color w:val="191919"/>
              </w:rPr>
            </w:pPr>
            <w:r>
              <w:rPr>
                <w:color w:val="191919"/>
              </w:rPr>
              <w:t>269,638</w:t>
            </w:r>
          </w:p>
        </w:tc>
        <w:tc>
          <w:tcPr>
            <w:tcW w:w="60"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 </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40"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w:t>
            </w:r>
          </w:p>
        </w:tc>
        <w:tc>
          <w:tcPr>
            <w:tcW w:w="800" w:type="dxa"/>
            <w:tcBorders>
              <w:bottom w:val="single" w:sz="6" w:space="0" w:color="7DB655"/>
            </w:tcBorders>
            <w:shd w:fill="EDEDED" w:val="clear"/>
            <w:tcMar>
              <w:bottom w:w="60" w:type="dxa"/>
            </w:tcMar>
            <w:vAlign w:val="center"/>
          </w:tcPr>
          <w:p>
            <w:pPr>
              <w:pStyle w:val="TableContents"/>
              <w:bidi w:val="0"/>
              <w:spacing w:before="0" w:after="283"/>
              <w:jc w:val="right"/>
              <w:rPr>
                <w:color w:val="191919"/>
              </w:rPr>
            </w:pPr>
            <w:r>
              <w:rPr>
                <w:color w:val="191919"/>
              </w:rPr>
              <w:t>227,860</w:t>
            </w:r>
          </w:p>
        </w:tc>
        <w:tc>
          <w:tcPr>
            <w:tcW w:w="60"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 </w:t>
            </w:r>
          </w:p>
        </w:tc>
        <w:tc>
          <w:tcPr>
            <w:tcW w:w="12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40"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w:t>
            </w:r>
          </w:p>
        </w:tc>
        <w:tc>
          <w:tcPr>
            <w:tcW w:w="800" w:type="dxa"/>
            <w:tcBorders>
              <w:bottom w:val="single" w:sz="6" w:space="0" w:color="7DB655"/>
            </w:tcBorders>
            <w:shd w:fill="EDEDED" w:val="clear"/>
            <w:tcMar>
              <w:bottom w:w="60" w:type="dxa"/>
            </w:tcMar>
            <w:vAlign w:val="center"/>
          </w:tcPr>
          <w:p>
            <w:pPr>
              <w:pStyle w:val="TableContents"/>
              <w:bidi w:val="0"/>
              <w:spacing w:before="0" w:after="283"/>
              <w:jc w:val="right"/>
              <w:rPr>
                <w:color w:val="191919"/>
              </w:rPr>
            </w:pPr>
            <w:r>
              <w:rPr>
                <w:color w:val="191919"/>
              </w:rPr>
              <w:t>200,011</w:t>
            </w:r>
          </w:p>
        </w:tc>
        <w:tc>
          <w:tcPr>
            <w:tcW w:w="75"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 </w:t>
            </w:r>
          </w:p>
        </w:tc>
      </w:tr>
    </w:tbl>
    <w:p>
      <w:pPr>
        <w:pStyle w:val="TextBody"/>
        <w:bidi w:val="0"/>
        <w:spacing w:before="240" w:after="0"/>
        <w:jc w:val="center"/>
        <w:rPr>
          <w:rFonts w:ascii="Arial" w:hAnsi="Arial"/>
          <w:b/>
          <w:sz w:val="20"/>
        </w:rPr>
      </w:pPr>
      <w:r>
        <w:rPr>
          <w:rFonts w:ascii="Arial" w:hAnsi="Arial"/>
          <w:b/>
          <w:sz w:val="20"/>
        </w:rPr>
        <w:t xml:space="preserve">RECONCILIATION OF NET INCOME AND EPS TO ADJUSTED NET INCOME AND EPS </w:t>
      </w:r>
    </w:p>
    <w:p>
      <w:pPr>
        <w:pStyle w:val="TextBody"/>
        <w:bidi w:val="0"/>
        <w:spacing w:before="0" w:after="0"/>
        <w:jc w:val="left"/>
        <w:rPr/>
      </w:pPr>
      <w:r>
        <w:rPr/>
        <w:t> </w:t>
      </w:r>
    </w:p>
    <w:p>
      <w:pPr>
        <w:pStyle w:val="TextBody"/>
        <w:bidi w:val="0"/>
        <w:spacing w:before="0" w:after="0"/>
        <w:jc w:val="left"/>
        <w:rPr/>
      </w:pPr>
      <w:r>
        <w:rPr/>
        <w:t> </w:t>
      </w:r>
    </w:p>
    <w:tbl>
      <w:tblPr>
        <w:tblW w:w="7087" w:type="dxa"/>
        <w:jc w:val="left"/>
        <w:tblInd w:w="0" w:type="dxa"/>
        <w:tblLayout w:type="fixed"/>
        <w:tblCellMar>
          <w:top w:w="0" w:type="dxa"/>
          <w:left w:w="0" w:type="dxa"/>
          <w:bottom w:w="0" w:type="dxa"/>
          <w:right w:w="0" w:type="dxa"/>
        </w:tblCellMar>
      </w:tblPr>
      <w:tblGrid>
        <w:gridCol w:w="4625"/>
        <w:gridCol w:w="60"/>
        <w:gridCol w:w="129"/>
        <w:gridCol w:w="303"/>
        <w:gridCol w:w="1732"/>
        <w:gridCol w:w="238"/>
      </w:tblGrid>
      <w:tr>
        <w:trPr/>
        <w:tc>
          <w:tcPr>
            <w:tcW w:w="4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top w:val="single" w:sz="6" w:space="0" w:color="7DB655"/>
            </w:tcBorders>
            <w:tcMar>
              <w:top w:w="28" w:type="dxa"/>
            </w:tcMar>
            <w:vAlign w:val="center"/>
          </w:tcPr>
          <w:p>
            <w:pPr>
              <w:pStyle w:val="TableContents"/>
              <w:bidi w:val="0"/>
              <w:spacing w:before="0" w:after="283"/>
              <w:jc w:val="left"/>
              <w:rPr/>
            </w:pPr>
            <w:r>
              <w:rPr/>
              <w:t> </w:t>
            </w:r>
          </w:p>
        </w:tc>
        <w:tc>
          <w:tcPr>
            <w:tcW w:w="2462" w:type="dxa"/>
            <w:gridSpan w:val="5"/>
            <w:tcBorders>
              <w:top w:val="single" w:sz="6" w:space="0" w:color="7DB655"/>
            </w:tcBorders>
            <w:tcMar>
              <w:top w:w="28" w:type="dxa"/>
            </w:tcMar>
            <w:vAlign w:val="center"/>
          </w:tcPr>
          <w:p>
            <w:pPr>
              <w:pStyle w:val="TableContents"/>
              <w:bidi w:val="0"/>
              <w:spacing w:before="0" w:after="283"/>
              <w:jc w:val="left"/>
              <w:rPr/>
            </w:pPr>
            <w:r>
              <w:rPr/>
              <w:t> </w:t>
            </w:r>
          </w:p>
        </w:tc>
      </w:tr>
      <w:tr>
        <w:trPr/>
        <w:tc>
          <w:tcPr>
            <w:tcW w:w="4625" w:type="dxa"/>
            <w:tcBorders>
              <w:bottom w:val="single" w:sz="56" w:space="0" w:color="7DB655"/>
            </w:tcBorders>
            <w:tcMar>
              <w:bottom w:w="60" w:type="dxa"/>
            </w:tcMar>
            <w:vAlign w:val="center"/>
          </w:tcPr>
          <w:p>
            <w:pPr>
              <w:pStyle w:val="TableContents"/>
              <w:bidi w:val="0"/>
              <w:spacing w:before="0" w:after="0"/>
              <w:jc w:val="left"/>
              <w:rPr>
                <w:rFonts w:ascii="Arial" w:hAnsi="Arial"/>
                <w:b/>
                <w:color w:val="191919"/>
                <w:sz w:val="15"/>
              </w:rPr>
            </w:pPr>
            <w:r>
              <w:rPr>
                <w:rFonts w:ascii="Arial" w:hAnsi="Arial"/>
                <w:b/>
                <w:color w:val="191919"/>
                <w:sz w:val="15"/>
              </w:rPr>
              <w:t>(Amounts in thousands, except per share amounts)</w:t>
            </w:r>
          </w:p>
        </w:tc>
        <w:tc>
          <w:tcPr>
            <w:tcW w:w="60" w:type="dxa"/>
            <w:tcBorders>
              <w:bottom w:val="single" w:sz="56" w:space="0" w:color="7DB655"/>
            </w:tcBorders>
            <w:tcMar>
              <w:bottom w:w="28" w:type="dxa"/>
            </w:tcMar>
            <w:vAlign w:val="center"/>
          </w:tcPr>
          <w:p>
            <w:pPr>
              <w:pStyle w:val="TableContents"/>
              <w:bidi w:val="0"/>
              <w:spacing w:before="0" w:after="283"/>
              <w:jc w:val="left"/>
              <w:rPr/>
            </w:pPr>
            <w:r>
              <w:rPr/>
              <w:t> </w:t>
            </w:r>
          </w:p>
        </w:tc>
        <w:tc>
          <w:tcPr>
            <w:tcW w:w="2402" w:type="dxa"/>
            <w:gridSpan w:val="4"/>
            <w:tcBorders>
              <w:bottom w:val="single" w:sz="56" w:space="0" w:color="7DB655"/>
            </w:tcBorders>
            <w:tcMar>
              <w:bottom w:w="60" w:type="dxa"/>
            </w:tcMar>
            <w:vAlign w:val="center"/>
          </w:tcPr>
          <w:p>
            <w:pPr>
              <w:pStyle w:val="TableContents"/>
              <w:bidi w:val="0"/>
              <w:spacing w:before="0" w:after="283"/>
              <w:jc w:val="center"/>
              <w:rPr>
                <w:color w:val="191919"/>
              </w:rPr>
            </w:pPr>
            <w:r>
              <w:rPr>
                <w:color w:val="191919"/>
              </w:rPr>
              <w:t> </w:t>
            </w:r>
            <w:r>
              <w:rPr>
                <w:b/>
                <w:color w:val="191919"/>
              </w:rPr>
              <w:t>Fiscal Year Ended </w:t>
              <w:br/>
              <w:t>March 31, 2026</w:t>
            </w:r>
          </w:p>
        </w:tc>
      </w:tr>
      <w:tr>
        <w:trPr/>
        <w:tc>
          <w:tcPr>
            <w:tcW w:w="4625" w:type="dxa"/>
            <w:tcBorders/>
            <w:vAlign w:val="center"/>
          </w:tcPr>
          <w:p>
            <w:pPr>
              <w:pStyle w:val="TableContents"/>
              <w:bidi w:val="0"/>
              <w:spacing w:before="0" w:after="283"/>
              <w:jc w:val="left"/>
              <w:rPr>
                <w:sz w:val="4"/>
                <w:szCs w:val="4"/>
              </w:rPr>
            </w:pPr>
            <w:r>
              <w:rPr>
                <w:sz w:val="4"/>
                <w:szCs w:val="4"/>
              </w:rPr>
            </w:r>
          </w:p>
        </w:tc>
        <w:tc>
          <w:tcPr>
            <w:tcW w:w="2462" w:type="dxa"/>
            <w:gridSpan w:val="5"/>
            <w:tcBorders/>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GAAP Net Income attributable to CSW</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w:t>
            </w:r>
          </w:p>
        </w:tc>
        <w:tc>
          <w:tcPr>
            <w:tcW w:w="1732" w:type="dxa"/>
            <w:tcBorders/>
            <w:vAlign w:val="center"/>
          </w:tcPr>
          <w:p>
            <w:pPr>
              <w:pStyle w:val="TableContents"/>
              <w:bidi w:val="0"/>
              <w:spacing w:before="0" w:after="283"/>
              <w:jc w:val="right"/>
              <w:rPr>
                <w:color w:val="191919"/>
              </w:rPr>
            </w:pPr>
            <w:r>
              <w:rPr>
                <w:color w:val="191919"/>
              </w:rPr>
              <w:t>112,045</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283"/>
              <w:jc w:val="left"/>
              <w:rPr>
                <w:sz w:val="4"/>
                <w:szCs w:val="4"/>
              </w:rPr>
            </w:pPr>
            <w:r>
              <w:rPr>
                <w:sz w:val="4"/>
                <w:szCs w:val="4"/>
              </w:rPr>
            </w:r>
          </w:p>
        </w:tc>
        <w:tc>
          <w:tcPr>
            <w:tcW w:w="2462"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Adjusting items, net of tax:</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sz w:val="4"/>
                <w:szCs w:val="4"/>
              </w:rPr>
            </w:pPr>
            <w:r>
              <w:rPr>
                <w:sz w:val="4"/>
                <w:szCs w:val="4"/>
              </w:rPr>
            </w:r>
          </w:p>
        </w:tc>
        <w:tc>
          <w:tcPr>
            <w:tcW w:w="1732" w:type="dxa"/>
            <w:tcBorders/>
            <w:shd w:fill="EDEDED" w:val="clear"/>
            <w:vAlign w:val="center"/>
          </w:tcPr>
          <w:p>
            <w:pPr>
              <w:pStyle w:val="TableContents"/>
              <w:bidi w:val="0"/>
              <w:spacing w:before="0" w:after="283"/>
              <w:jc w:val="left"/>
              <w:rPr>
                <w:sz w:val="4"/>
                <w:szCs w:val="4"/>
              </w:rPr>
            </w:pPr>
            <w:r>
              <w:rPr>
                <w:sz w:val="4"/>
                <w:szCs w:val="4"/>
              </w:rPr>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Amortization of acquisition-related intangible assets and inventory step-up</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51,173</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Amortization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(12,727</w:t>
            </w:r>
          </w:p>
        </w:tc>
        <w:tc>
          <w:tcPr>
            <w:tcW w:w="238" w:type="dxa"/>
            <w:tcBorders/>
            <w:shd w:fill="EDEDED" w:val="clear"/>
            <w:vAlign w:val="center"/>
          </w:tcPr>
          <w:p>
            <w:pPr>
              <w:pStyle w:val="TableContents"/>
              <w:bidi w:val="0"/>
              <w:spacing w:before="0" w:after="283"/>
              <w:jc w:val="left"/>
              <w:rPr>
                <w:color w:val="191919"/>
              </w:rPr>
            </w:pPr>
            <w:r>
              <w:rPr>
                <w:color w:val="191919"/>
              </w:rPr>
              <w:t>)</w:t>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Acquisition-related integration expenses, net of tax effect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5,773</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Nonrecurring inventory write down, net of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2,361</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Acquisition-related transaction expenses, net of tax effect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3,829</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Greco Canada exit related expenses, net of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1,575</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Nonrecurring restructuring expenses, net of tax effect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408</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Greco impairment expenses, net of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13,617</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Uncertain tax position accrual release</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(4,544</w:t>
            </w:r>
          </w:p>
        </w:tc>
        <w:tc>
          <w:tcPr>
            <w:tcW w:w="238" w:type="dxa"/>
            <w:tcBorders/>
            <w:vAlign w:val="center"/>
          </w:tcPr>
          <w:p>
            <w:pPr>
              <w:pStyle w:val="TableContents"/>
              <w:bidi w:val="0"/>
              <w:spacing w:before="0" w:after="283"/>
              <w:jc w:val="left"/>
              <w:rPr>
                <w:color w:val="191919"/>
              </w:rPr>
            </w:pPr>
            <w:r>
              <w:rPr>
                <w:color w:val="191919"/>
              </w:rPr>
              <w:t>)</w:t>
            </w:r>
          </w:p>
        </w:tc>
      </w:tr>
      <w:tr>
        <w:trPr/>
        <w:tc>
          <w:tcPr>
            <w:tcW w:w="4625" w:type="dxa"/>
            <w:tcBorders/>
            <w:shd w:fill="EDEDED" w:val="clear"/>
            <w:vAlign w:val="center"/>
          </w:tcPr>
          <w:p>
            <w:pPr>
              <w:pStyle w:val="TableContents"/>
              <w:bidi w:val="0"/>
              <w:spacing w:before="0" w:after="283"/>
              <w:jc w:val="left"/>
              <w:rPr>
                <w:sz w:val="4"/>
                <w:szCs w:val="4"/>
              </w:rPr>
            </w:pPr>
            <w:r>
              <w:rPr>
                <w:sz w:val="4"/>
                <w:szCs w:val="4"/>
              </w:rPr>
            </w:r>
          </w:p>
        </w:tc>
        <w:tc>
          <w:tcPr>
            <w:tcW w:w="2462"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Adjusted Net income attributable to CSW</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w:t>
            </w:r>
          </w:p>
        </w:tc>
        <w:tc>
          <w:tcPr>
            <w:tcW w:w="1732" w:type="dxa"/>
            <w:tcBorders/>
            <w:shd w:fill="EDEDED" w:val="clear"/>
            <w:vAlign w:val="center"/>
          </w:tcPr>
          <w:p>
            <w:pPr>
              <w:pStyle w:val="TableContents"/>
              <w:bidi w:val="0"/>
              <w:spacing w:before="0" w:after="283"/>
              <w:jc w:val="right"/>
              <w:rPr>
                <w:color w:val="191919"/>
              </w:rPr>
            </w:pPr>
            <w:r>
              <w:rPr>
                <w:color w:val="191919"/>
              </w:rPr>
              <w:t>173,510</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283"/>
              <w:jc w:val="left"/>
              <w:rPr>
                <w:sz w:val="4"/>
                <w:szCs w:val="4"/>
              </w:rPr>
            </w:pPr>
            <w:r>
              <w:rPr>
                <w:sz w:val="4"/>
                <w:szCs w:val="4"/>
              </w:rPr>
            </w:r>
          </w:p>
        </w:tc>
        <w:tc>
          <w:tcPr>
            <w:tcW w:w="2462" w:type="dxa"/>
            <w:gridSpan w:val="5"/>
            <w:tcBorders/>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GAAP Net Income attributable to CSW per diluted common share</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w:t>
            </w:r>
          </w:p>
        </w:tc>
        <w:tc>
          <w:tcPr>
            <w:tcW w:w="1732" w:type="dxa"/>
            <w:tcBorders/>
            <w:vAlign w:val="center"/>
          </w:tcPr>
          <w:p>
            <w:pPr>
              <w:pStyle w:val="TableContents"/>
              <w:bidi w:val="0"/>
              <w:spacing w:before="0" w:after="283"/>
              <w:jc w:val="right"/>
              <w:rPr>
                <w:color w:val="191919"/>
              </w:rPr>
            </w:pPr>
            <w:r>
              <w:rPr>
                <w:color w:val="191919"/>
              </w:rPr>
              <w:t>6.70</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283"/>
              <w:jc w:val="left"/>
              <w:rPr>
                <w:sz w:val="4"/>
                <w:szCs w:val="4"/>
              </w:rPr>
            </w:pPr>
            <w:r>
              <w:rPr>
                <w:sz w:val="4"/>
                <w:szCs w:val="4"/>
              </w:rPr>
            </w:r>
          </w:p>
        </w:tc>
        <w:tc>
          <w:tcPr>
            <w:tcW w:w="2462"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Adjusting Items, per diluted common share:</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sz w:val="4"/>
                <w:szCs w:val="4"/>
              </w:rPr>
            </w:pPr>
            <w:r>
              <w:rPr>
                <w:sz w:val="4"/>
                <w:szCs w:val="4"/>
              </w:rPr>
            </w:r>
          </w:p>
        </w:tc>
        <w:tc>
          <w:tcPr>
            <w:tcW w:w="1732" w:type="dxa"/>
            <w:tcBorders/>
            <w:shd w:fill="EDEDED" w:val="clear"/>
            <w:vAlign w:val="center"/>
          </w:tcPr>
          <w:p>
            <w:pPr>
              <w:pStyle w:val="TableContents"/>
              <w:bidi w:val="0"/>
              <w:spacing w:before="0" w:after="283"/>
              <w:jc w:val="left"/>
              <w:rPr>
                <w:sz w:val="4"/>
                <w:szCs w:val="4"/>
              </w:rPr>
            </w:pPr>
            <w:r>
              <w:rPr>
                <w:sz w:val="4"/>
                <w:szCs w:val="4"/>
              </w:rPr>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Amortization of acquisition-related intangible assets and inventory step-up</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3.06</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Amortization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(0.76</w:t>
            </w:r>
          </w:p>
        </w:tc>
        <w:tc>
          <w:tcPr>
            <w:tcW w:w="238" w:type="dxa"/>
            <w:tcBorders/>
            <w:shd w:fill="EDEDED" w:val="clear"/>
            <w:vAlign w:val="center"/>
          </w:tcPr>
          <w:p>
            <w:pPr>
              <w:pStyle w:val="TableContents"/>
              <w:bidi w:val="0"/>
              <w:spacing w:before="0" w:after="283"/>
              <w:jc w:val="left"/>
              <w:rPr>
                <w:color w:val="191919"/>
              </w:rPr>
            </w:pPr>
            <w:r>
              <w:rPr>
                <w:color w:val="191919"/>
              </w:rPr>
              <w:t>)</w:t>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Acquisition-related integration expenses, net of tax effect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0.35</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Nonrecurring inventory write down, net of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0.14</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Acquisition-related transaction expenses, net of tax effect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0.23</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Greco Canada exit related expenses, net of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0.09</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Nonrecurring restructuring expenses, net of tax effect</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0.02</w:t>
            </w:r>
          </w:p>
        </w:tc>
        <w:tc>
          <w:tcPr>
            <w:tcW w:w="238" w:type="dxa"/>
            <w:tcBorders/>
            <w:vAlign w:val="center"/>
          </w:tcPr>
          <w:p>
            <w:pPr>
              <w:pStyle w:val="TableContents"/>
              <w:bidi w:val="0"/>
              <w:spacing w:before="0" w:after="283"/>
              <w:jc w:val="left"/>
              <w:rPr>
                <w:sz w:val="4"/>
                <w:szCs w:val="4"/>
              </w:rPr>
            </w:pPr>
            <w:r>
              <w:rPr>
                <w:sz w:val="4"/>
                <w:szCs w:val="4"/>
              </w:rPr>
            </w:r>
          </w:p>
        </w:tc>
      </w:tr>
      <w:tr>
        <w:trPr/>
        <w:tc>
          <w:tcPr>
            <w:tcW w:w="4625" w:type="dxa"/>
            <w:tcBorders/>
            <w:shd w:fill="EDEDED" w:val="clear"/>
            <w:vAlign w:val="center"/>
          </w:tcPr>
          <w:p>
            <w:pPr>
              <w:pStyle w:val="TableContents"/>
              <w:bidi w:val="0"/>
              <w:spacing w:before="0" w:after="0"/>
              <w:jc w:val="left"/>
              <w:rPr>
                <w:rFonts w:ascii="Arial" w:hAnsi="Arial"/>
                <w:color w:val="191919"/>
                <w:sz w:val="14"/>
              </w:rPr>
            </w:pPr>
            <w:r>
              <w:rPr>
                <w:rFonts w:ascii="Arial" w:hAnsi="Arial"/>
                <w:color w:val="191919"/>
                <w:sz w:val="14"/>
              </w:rPr>
              <w:t>Greco impairment expenses, net of tax effect</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pPr>
            <w:r>
              <w:rPr/>
              <w:t> </w:t>
            </w:r>
          </w:p>
        </w:tc>
        <w:tc>
          <w:tcPr>
            <w:tcW w:w="303" w:type="dxa"/>
            <w:tcBorders/>
            <w:shd w:fill="EDEDED" w:val="clear"/>
            <w:vAlign w:val="center"/>
          </w:tcPr>
          <w:p>
            <w:pPr>
              <w:pStyle w:val="TableContents"/>
              <w:bidi w:val="0"/>
              <w:spacing w:before="0" w:after="283"/>
              <w:jc w:val="left"/>
              <w:rPr>
                <w:color w:val="191919"/>
              </w:rPr>
            </w:pPr>
            <w:r>
              <w:rPr>
                <w:color w:val="191919"/>
              </w:rPr>
              <w:t> </w:t>
            </w:r>
          </w:p>
        </w:tc>
        <w:tc>
          <w:tcPr>
            <w:tcW w:w="1732" w:type="dxa"/>
            <w:tcBorders/>
            <w:shd w:fill="EDEDED" w:val="clear"/>
            <w:vAlign w:val="center"/>
          </w:tcPr>
          <w:p>
            <w:pPr>
              <w:pStyle w:val="TableContents"/>
              <w:bidi w:val="0"/>
              <w:spacing w:before="0" w:after="283"/>
              <w:jc w:val="right"/>
              <w:rPr>
                <w:color w:val="191919"/>
              </w:rPr>
            </w:pPr>
            <w:r>
              <w:rPr>
                <w:color w:val="191919"/>
              </w:rPr>
              <w:t>0.81</w:t>
            </w:r>
          </w:p>
        </w:tc>
        <w:tc>
          <w:tcPr>
            <w:tcW w:w="238" w:type="dxa"/>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vAlign w:val="center"/>
          </w:tcPr>
          <w:p>
            <w:pPr>
              <w:pStyle w:val="TableContents"/>
              <w:bidi w:val="0"/>
              <w:spacing w:before="0" w:after="0"/>
              <w:jc w:val="left"/>
              <w:rPr>
                <w:rFonts w:ascii="Arial" w:hAnsi="Arial"/>
                <w:color w:val="191919"/>
                <w:sz w:val="14"/>
              </w:rPr>
            </w:pPr>
            <w:r>
              <w:rPr>
                <w:rFonts w:ascii="Arial" w:hAnsi="Arial"/>
                <w:color w:val="191919"/>
                <w:sz w:val="14"/>
              </w:rPr>
              <w:t>Uncertain tax position accrual release</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color w:val="191919"/>
              </w:rPr>
            </w:pPr>
            <w:r>
              <w:rPr>
                <w:color w:val="191919"/>
              </w:rPr>
              <w:t> </w:t>
            </w:r>
          </w:p>
        </w:tc>
        <w:tc>
          <w:tcPr>
            <w:tcW w:w="1732" w:type="dxa"/>
            <w:tcBorders/>
            <w:vAlign w:val="center"/>
          </w:tcPr>
          <w:p>
            <w:pPr>
              <w:pStyle w:val="TableContents"/>
              <w:bidi w:val="0"/>
              <w:spacing w:before="0" w:after="283"/>
              <w:jc w:val="right"/>
              <w:rPr>
                <w:color w:val="191919"/>
              </w:rPr>
            </w:pPr>
            <w:r>
              <w:rPr>
                <w:color w:val="191919"/>
              </w:rPr>
              <w:t>(0.27</w:t>
            </w:r>
          </w:p>
        </w:tc>
        <w:tc>
          <w:tcPr>
            <w:tcW w:w="238" w:type="dxa"/>
            <w:tcBorders/>
            <w:vAlign w:val="center"/>
          </w:tcPr>
          <w:p>
            <w:pPr>
              <w:pStyle w:val="TableContents"/>
              <w:bidi w:val="0"/>
              <w:spacing w:before="0" w:after="283"/>
              <w:jc w:val="left"/>
              <w:rPr>
                <w:color w:val="191919"/>
              </w:rPr>
            </w:pPr>
            <w:r>
              <w:rPr>
                <w:color w:val="191919"/>
              </w:rPr>
              <w:t>)</w:t>
            </w:r>
          </w:p>
        </w:tc>
      </w:tr>
      <w:tr>
        <w:trPr/>
        <w:tc>
          <w:tcPr>
            <w:tcW w:w="4625" w:type="dxa"/>
            <w:tcBorders/>
            <w:shd w:fill="EDEDED" w:val="clear"/>
            <w:vAlign w:val="center"/>
          </w:tcPr>
          <w:p>
            <w:pPr>
              <w:pStyle w:val="TableContents"/>
              <w:bidi w:val="0"/>
              <w:spacing w:before="0" w:after="283"/>
              <w:jc w:val="left"/>
              <w:rPr>
                <w:sz w:val="4"/>
                <w:szCs w:val="4"/>
              </w:rPr>
            </w:pPr>
            <w:r>
              <w:rPr>
                <w:sz w:val="4"/>
                <w:szCs w:val="4"/>
              </w:rPr>
            </w:r>
          </w:p>
        </w:tc>
        <w:tc>
          <w:tcPr>
            <w:tcW w:w="2462"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4625" w:type="dxa"/>
            <w:tcBorders>
              <w:bottom w:val="single" w:sz="6" w:space="0" w:color="7DB655"/>
            </w:tcBorders>
            <w:shd w:fill="EDEDED" w:val="clear"/>
            <w:tcMar>
              <w:bottom w:w="60" w:type="dxa"/>
            </w:tcMar>
            <w:vAlign w:val="center"/>
          </w:tcPr>
          <w:p>
            <w:pPr>
              <w:pStyle w:val="TableContents"/>
              <w:bidi w:val="0"/>
              <w:spacing w:before="0" w:after="0"/>
              <w:jc w:val="left"/>
              <w:rPr>
                <w:rFonts w:ascii="Arial" w:hAnsi="Arial"/>
                <w:color w:val="191919"/>
                <w:sz w:val="14"/>
              </w:rPr>
            </w:pPr>
            <w:r>
              <w:rPr>
                <w:rFonts w:ascii="Arial" w:hAnsi="Arial"/>
                <w:color w:val="191919"/>
                <w:sz w:val="14"/>
              </w:rPr>
              <w:t>Adjusted Net Income attributable to CSW per diluted common share</w:t>
            </w:r>
          </w:p>
        </w:tc>
        <w:tc>
          <w:tcPr>
            <w:tcW w:w="60"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129" w:type="dxa"/>
            <w:tcBorders>
              <w:bottom w:val="single" w:sz="6" w:space="0" w:color="7DB655"/>
            </w:tcBorders>
            <w:shd w:fill="EDEDED" w:val="clear"/>
            <w:tcMar>
              <w:bottom w:w="28" w:type="dxa"/>
            </w:tcMar>
            <w:vAlign w:val="center"/>
          </w:tcPr>
          <w:p>
            <w:pPr>
              <w:pStyle w:val="TableContents"/>
              <w:bidi w:val="0"/>
              <w:spacing w:before="0" w:after="283"/>
              <w:jc w:val="left"/>
              <w:rPr/>
            </w:pPr>
            <w:r>
              <w:rPr/>
              <w:t> </w:t>
            </w:r>
          </w:p>
        </w:tc>
        <w:tc>
          <w:tcPr>
            <w:tcW w:w="303" w:type="dxa"/>
            <w:tcBorders>
              <w:bottom w:val="single" w:sz="6" w:space="0" w:color="7DB655"/>
            </w:tcBorders>
            <w:shd w:fill="EDEDED" w:val="clear"/>
            <w:tcMar>
              <w:bottom w:w="60" w:type="dxa"/>
            </w:tcMar>
            <w:vAlign w:val="center"/>
          </w:tcPr>
          <w:p>
            <w:pPr>
              <w:pStyle w:val="TableContents"/>
              <w:bidi w:val="0"/>
              <w:spacing w:before="0" w:after="283"/>
              <w:jc w:val="left"/>
              <w:rPr>
                <w:color w:val="191919"/>
              </w:rPr>
            </w:pPr>
            <w:r>
              <w:rPr>
                <w:color w:val="191919"/>
              </w:rPr>
              <w:t>$</w:t>
            </w:r>
          </w:p>
        </w:tc>
        <w:tc>
          <w:tcPr>
            <w:tcW w:w="1732" w:type="dxa"/>
            <w:tcBorders>
              <w:bottom w:val="single" w:sz="6" w:space="0" w:color="7DB655"/>
            </w:tcBorders>
            <w:shd w:fill="EDEDED" w:val="clear"/>
            <w:tcMar>
              <w:bottom w:w="60" w:type="dxa"/>
            </w:tcMar>
            <w:vAlign w:val="center"/>
          </w:tcPr>
          <w:p>
            <w:pPr>
              <w:pStyle w:val="TableContents"/>
              <w:bidi w:val="0"/>
              <w:spacing w:before="0" w:after="283"/>
              <w:jc w:val="right"/>
              <w:rPr>
                <w:color w:val="191919"/>
              </w:rPr>
            </w:pPr>
            <w:r>
              <w:rPr>
                <w:color w:val="191919"/>
              </w:rPr>
              <w:t>10.38</w:t>
            </w:r>
          </w:p>
        </w:tc>
        <w:tc>
          <w:tcPr>
            <w:tcW w:w="238" w:type="dxa"/>
            <w:tcBorders>
              <w:bottom w:val="single" w:sz="6" w:space="0" w:color="7DB655"/>
            </w:tcBorders>
            <w:shd w:fill="EDEDED" w:val="clear"/>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3903" w:type="dxa"/>
        <w:jc w:val="left"/>
        <w:tblInd w:w="0" w:type="dxa"/>
        <w:tblLayout w:type="fixed"/>
        <w:tblCellMar>
          <w:top w:w="0" w:type="dxa"/>
          <w:left w:w="0" w:type="dxa"/>
          <w:bottom w:w="0" w:type="dxa"/>
          <w:right w:w="0" w:type="dxa"/>
        </w:tblCellMar>
      </w:tblPr>
      <w:tblGrid>
        <w:gridCol w:w="38"/>
        <w:gridCol w:w="60"/>
        <w:gridCol w:w="23"/>
        <w:gridCol w:w="60"/>
        <w:gridCol w:w="23"/>
        <w:gridCol w:w="60"/>
        <w:gridCol w:w="1424"/>
        <w:gridCol w:w="60"/>
        <w:gridCol w:w="1625"/>
        <w:gridCol w:w="120"/>
        <w:gridCol w:w="41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drawing>
                <wp:inline distT="0" distB="0" distL="0" distR="0">
                  <wp:extent cx="866140" cy="263525"/>
                  <wp:effectExtent l="0" t="0" r="0" b="0"/>
                  <wp:docPr id="389"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48" descr=""/>
                          <pic:cNvPicPr>
                            <a:picLocks noChangeAspect="1" noChangeArrowheads="1"/>
                          </pic:cNvPicPr>
                        </pic:nvPicPr>
                        <pic:blipFill>
                          <a:blip r:embed="rId356"/>
                          <a:stretch>
                            <a:fillRect/>
                          </a:stretch>
                        </pic:blipFill>
                        <pic:spPr bwMode="auto">
                          <a:xfrm>
                            <a:off x="0" y="0"/>
                            <a:ext cx="866140" cy="2635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0"/>
              <w:jc w:val="center"/>
              <w:rPr/>
            </w:pPr>
            <w:r>
              <w:rPr/>
              <w:t> </w:t>
            </w:r>
            <w:r>
              <w:rPr>
                <w:rFonts w:ascii="Arial" w:hAnsi="Arial"/>
                <w:color w:val="7DB655"/>
                <w:sz w:val="14"/>
              </w:rPr>
              <w:t>|</w:t>
            </w:r>
            <w:r>
              <w:rPr>
                <w:rFonts w:ascii="Arial" w:hAnsi="Arial"/>
                <w:sz w:val="14"/>
              </w:rPr>
              <w:t> 2026 Proxy Statement</w:t>
            </w:r>
          </w:p>
        </w:tc>
        <w:tc>
          <w:tcPr>
            <w:tcW w:w="12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b/>
              </w:rPr>
            </w:pPr>
            <w:r>
              <w:rPr>
                <w:b/>
              </w:rPr>
              <w:t>A-1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213"/>
        <w:gridCol w:w="60"/>
        <w:gridCol w:w="7932"/>
      </w:tblGrid>
      <w:tr>
        <w:trPr/>
        <w:tc>
          <w:tcPr>
            <w:tcW w:w="2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32" w:type="dxa"/>
            <w:tcBorders/>
            <w:vAlign w:val="center"/>
          </w:tcPr>
          <w:p>
            <w:pPr>
              <w:pStyle w:val="TableContents"/>
              <w:bidi w:val="0"/>
              <w:spacing w:before="0" w:after="283"/>
              <w:jc w:val="left"/>
              <w:rPr>
                <w:sz w:val="4"/>
                <w:szCs w:val="4"/>
              </w:rPr>
            </w:pPr>
            <w:r>
              <w:rPr>
                <w:sz w:val="4"/>
                <w:szCs w:val="4"/>
              </w:rPr>
            </w:r>
          </w:p>
        </w:tc>
      </w:tr>
      <w:tr>
        <w:trPr/>
        <w:tc>
          <w:tcPr>
            <w:tcW w:w="2213" w:type="dxa"/>
            <w:tcBorders/>
            <w:vAlign w:val="center"/>
          </w:tcPr>
          <w:p>
            <w:pPr>
              <w:pStyle w:val="TableContents"/>
              <w:bidi w:val="0"/>
              <w:spacing w:before="0" w:after="0"/>
              <w:jc w:val="left"/>
              <w:rPr/>
            </w:pPr>
            <w:r>
              <w:rPr/>
              <w:drawing>
                <wp:inline distT="0" distB="0" distL="0" distR="0">
                  <wp:extent cx="1314450" cy="476250"/>
                  <wp:effectExtent l="0" t="0" r="0" b="0"/>
                  <wp:docPr id="390"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49" descr=""/>
                          <pic:cNvPicPr>
                            <a:picLocks noChangeAspect="1" noChangeArrowheads="1"/>
                          </pic:cNvPicPr>
                        </pic:nvPicPr>
                        <pic:blipFill>
                          <a:blip r:embed="rId357"/>
                          <a:stretch>
                            <a:fillRect/>
                          </a:stretch>
                        </pic:blipFill>
                        <pic:spPr bwMode="auto">
                          <a:xfrm>
                            <a:off x="0" y="0"/>
                            <a:ext cx="1314450" cy="4762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40" w:after="0"/>
              <w:jc w:val="left"/>
              <w:rPr>
                <w:rFonts w:ascii="Times New Roman" w:hAnsi="Times New Roman"/>
                <w:i/>
                <w:sz w:val="16"/>
              </w:rPr>
            </w:pPr>
            <w:r>
              <w:rPr>
                <w:rFonts w:ascii="Times New Roman" w:hAnsi="Times New Roman"/>
                <w:i/>
                <w:sz w:val="16"/>
              </w:rPr>
              <w:t>CSW INDUSTRIALS, INC.</w:t>
            </w:r>
          </w:p>
          <w:p>
            <w:pPr>
              <w:pStyle w:val="TableContents"/>
              <w:bidi w:val="0"/>
              <w:spacing w:before="0" w:after="0"/>
              <w:jc w:val="left"/>
              <w:rPr/>
            </w:pPr>
            <w:r>
              <w:rPr/>
              <w:t> </w:t>
            </w:r>
          </w:p>
          <w:p>
            <w:pPr>
              <w:pStyle w:val="TableContents"/>
              <w:bidi w:val="0"/>
              <w:spacing w:before="40" w:after="0"/>
              <w:jc w:val="left"/>
              <w:rPr>
                <w:rFonts w:ascii="Times New Roman" w:hAnsi="Times New Roman"/>
                <w:i/>
                <w:sz w:val="16"/>
              </w:rPr>
            </w:pPr>
            <w:r>
              <w:rPr>
                <w:rFonts w:ascii="Times New Roman" w:hAnsi="Times New Roman"/>
                <w:i/>
                <w:sz w:val="16"/>
              </w:rPr>
              <w:t>5420 LYNDON B. JOHNSON FREEWAY</w:t>
            </w:r>
          </w:p>
          <w:p>
            <w:pPr>
              <w:pStyle w:val="TableContents"/>
              <w:bidi w:val="0"/>
              <w:spacing w:before="0" w:after="0"/>
              <w:jc w:val="left"/>
              <w:rPr/>
            </w:pPr>
            <w:r>
              <w:rPr/>
              <w:t> </w:t>
            </w:r>
          </w:p>
          <w:p>
            <w:pPr>
              <w:pStyle w:val="TableContents"/>
              <w:bidi w:val="0"/>
              <w:spacing w:before="40" w:after="0"/>
              <w:jc w:val="left"/>
              <w:rPr>
                <w:rFonts w:ascii="Times New Roman" w:hAnsi="Times New Roman"/>
                <w:i/>
                <w:sz w:val="16"/>
              </w:rPr>
            </w:pPr>
            <w:r>
              <w:rPr>
                <w:rFonts w:ascii="Times New Roman" w:hAnsi="Times New Roman"/>
                <w:i/>
                <w:sz w:val="16"/>
              </w:rPr>
              <w:t>SUITE 500</w:t>
            </w:r>
          </w:p>
          <w:p>
            <w:pPr>
              <w:pStyle w:val="TableContents"/>
              <w:bidi w:val="0"/>
              <w:spacing w:before="0" w:after="0"/>
              <w:jc w:val="left"/>
              <w:rPr/>
            </w:pPr>
            <w:r>
              <w:rPr/>
              <w:t> </w:t>
            </w:r>
          </w:p>
          <w:p>
            <w:pPr>
              <w:pStyle w:val="TableContents"/>
              <w:bidi w:val="0"/>
              <w:spacing w:before="40" w:after="20"/>
              <w:jc w:val="left"/>
              <w:rPr>
                <w:rFonts w:ascii="Times New Roman" w:hAnsi="Times New Roman"/>
                <w:i/>
                <w:sz w:val="16"/>
              </w:rPr>
            </w:pPr>
            <w:r>
              <w:rPr>
                <w:rFonts w:ascii="Times New Roman" w:hAnsi="Times New Roman"/>
                <w:i/>
                <w:sz w:val="16"/>
              </w:rPr>
              <w:t>DALLAS, TX 75240</w:t>
            </w:r>
          </w:p>
        </w:tc>
        <w:tc>
          <w:tcPr>
            <w:tcW w:w="60" w:type="dxa"/>
            <w:tcBorders/>
            <w:vAlign w:val="center"/>
          </w:tcPr>
          <w:p>
            <w:pPr>
              <w:pStyle w:val="TableContents"/>
              <w:bidi w:val="0"/>
              <w:spacing w:before="0" w:after="283"/>
              <w:jc w:val="left"/>
              <w:rPr/>
            </w:pPr>
            <w:r>
              <w:rPr/>
              <w:t> </w:t>
            </w:r>
          </w:p>
        </w:tc>
        <w:tc>
          <w:tcPr>
            <w:tcW w:w="7932" w:type="dxa"/>
            <w:tcBorders/>
            <w:vAlign w:val="center"/>
          </w:tcPr>
          <w:p>
            <w:pPr>
              <w:pStyle w:val="TableContents"/>
              <w:bidi w:val="0"/>
              <w:spacing w:before="0" w:after="0"/>
              <w:jc w:val="left"/>
              <w:rPr/>
            </w:pPr>
            <w:r>
              <w:rPr/>
              <w:t xml:space="preserve">  </w:t>
            </w:r>
            <w:r>
              <w:rPr/>
              <w:drawing>
                <wp:inline distT="0" distB="0" distL="0" distR="0">
                  <wp:extent cx="2486025" cy="657225"/>
                  <wp:effectExtent l="0" t="0" r="0" b="0"/>
                  <wp:docPr id="391"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50" descr=""/>
                          <pic:cNvPicPr>
                            <a:picLocks noChangeAspect="1" noChangeArrowheads="1"/>
                          </pic:cNvPicPr>
                        </pic:nvPicPr>
                        <pic:blipFill>
                          <a:blip r:embed="rId358"/>
                          <a:stretch>
                            <a:fillRect/>
                          </a:stretch>
                        </pic:blipFill>
                        <pic:spPr bwMode="auto">
                          <a:xfrm>
                            <a:off x="0" y="0"/>
                            <a:ext cx="2486025" cy="657225"/>
                          </a:xfrm>
                          <a:prstGeom prst="rect">
                            <a:avLst/>
                          </a:prstGeom>
                        </pic:spPr>
                      </pic:pic>
                    </a:graphicData>
                  </a:graphic>
                </wp:inline>
              </w:drawing>
            </w:r>
            <w:r>
              <w:rPr/>
              <w:t xml:space="preserve"> </w:t>
            </w:r>
          </w:p>
          <w:p>
            <w:pPr>
              <w:pStyle w:val="TableContents"/>
              <w:bidi w:val="0"/>
              <w:spacing w:before="0" w:after="0"/>
              <w:jc w:val="left"/>
              <w:rPr>
                <w:rFonts w:ascii="Times New Roman" w:hAnsi="Times New Roman"/>
                <w:b/>
                <w:sz w:val="16"/>
              </w:rPr>
            </w:pPr>
            <w:r>
              <w:rPr>
                <w:rFonts w:ascii="Times New Roman" w:hAnsi="Times New Roman"/>
                <w:b/>
                <w:sz w:val="16"/>
              </w:rPr>
              <w:t>VOTE BY INTERNET</w:t>
            </w:r>
          </w:p>
          <w:p>
            <w:pPr>
              <w:pStyle w:val="TableContents"/>
              <w:bidi w:val="0"/>
              <w:spacing w:before="0" w:after="0"/>
              <w:jc w:val="left"/>
              <w:rPr>
                <w:rFonts w:ascii="Times New Roman" w:hAnsi="Times New Roman"/>
                <w:sz w:val="16"/>
              </w:rPr>
            </w:pPr>
            <w:r>
              <w:rPr>
                <w:rFonts w:ascii="Times New Roman" w:hAnsi="Times New Roman"/>
                <w:i/>
                <w:sz w:val="16"/>
              </w:rPr>
              <w:t xml:space="preserve">Before The Meeting </w:t>
            </w:r>
            <w:r>
              <w:rPr>
                <w:rFonts w:ascii="Times New Roman" w:hAnsi="Times New Roman"/>
                <w:b/>
                <w:sz w:val="16"/>
              </w:rPr>
              <w:t xml:space="preserve">- </w:t>
            </w:r>
            <w:r>
              <w:rPr>
                <w:rFonts w:ascii="Times New Roman" w:hAnsi="Times New Roman"/>
                <w:sz w:val="16"/>
              </w:rPr>
              <w:t xml:space="preserve">Go to </w:t>
            </w:r>
            <w:r>
              <w:rPr>
                <w:rFonts w:ascii="Times New Roman" w:hAnsi="Times New Roman"/>
                <w:b/>
                <w:sz w:val="16"/>
                <w:u w:val="single"/>
              </w:rPr>
              <w:t>www.proxyvote.com</w:t>
            </w:r>
            <w:r>
              <w:rPr>
                <w:rFonts w:ascii="Times New Roman" w:hAnsi="Times New Roman"/>
                <w:b/>
                <w:sz w:val="16"/>
              </w:rPr>
              <w:t xml:space="preserve"> or scan the QR Barcode above</w:t>
            </w:r>
          </w:p>
          <w:p>
            <w:pPr>
              <w:pStyle w:val="TableContents"/>
              <w:bidi w:val="0"/>
              <w:spacing w:before="0" w:after="0"/>
              <w:jc w:val="left"/>
              <w:rPr/>
            </w:pPr>
            <w:r>
              <w:rPr/>
              <w:t> </w:t>
            </w:r>
          </w:p>
          <w:p>
            <w:pPr>
              <w:pStyle w:val="TableContents"/>
              <w:bidi w:val="0"/>
              <w:spacing w:before="80" w:after="0"/>
              <w:jc w:val="left"/>
              <w:rPr>
                <w:rFonts w:ascii="Times New Roman" w:hAnsi="Times New Roman"/>
                <w:sz w:val="16"/>
              </w:rPr>
            </w:pPr>
            <w:r>
              <w:rPr>
                <w:rFonts w:ascii="Times New Roman" w:hAnsi="Times New Roman"/>
                <w:sz w:val="16"/>
              </w:rPr>
              <w:t>Use the Internet to transmit your voting instructions and for electronic delivery of information. Vote by 11:59 P.M. ET on August 26, 2026 for shares held directly and by 11:59 P.M. ET on August 24, 2026 for shares held in a Plan. Have your proxy card in hand when you access the website and follow the instructions to obtain your records and to create an electronic voting instruction form.</w:t>
            </w:r>
          </w:p>
          <w:p>
            <w:pPr>
              <w:pStyle w:val="TableContents"/>
              <w:bidi w:val="0"/>
              <w:spacing w:before="0" w:after="0"/>
              <w:jc w:val="left"/>
              <w:rPr/>
            </w:pPr>
            <w:r>
              <w:rPr/>
              <w:t> </w:t>
            </w:r>
          </w:p>
          <w:p>
            <w:pPr>
              <w:pStyle w:val="TableContents"/>
              <w:bidi w:val="0"/>
              <w:spacing w:before="80" w:after="0"/>
              <w:jc w:val="left"/>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www.virtualshareholdermeeting.com/CSW2026</w:t>
            </w:r>
          </w:p>
          <w:p>
            <w:pPr>
              <w:pStyle w:val="TableContents"/>
              <w:bidi w:val="0"/>
              <w:spacing w:before="0" w:after="0"/>
              <w:jc w:val="left"/>
              <w:rPr/>
            </w:pPr>
            <w:r>
              <w:rPr/>
              <w:t> </w:t>
            </w:r>
          </w:p>
          <w:p>
            <w:pPr>
              <w:pStyle w:val="TableContents"/>
              <w:bidi w:val="0"/>
              <w:spacing w:before="80" w:after="0"/>
              <w:jc w:val="left"/>
              <w:rPr>
                <w:rFonts w:ascii="Times New Roman" w:hAnsi="Times New Roman"/>
                <w:sz w:val="16"/>
              </w:rPr>
            </w:pPr>
            <w:r>
              <w:rPr>
                <w:rFonts w:ascii="Times New Roman" w:hAnsi="Times New Roman"/>
                <w:sz w:val="16"/>
              </w:rPr>
              <w:t>You may attend the meeting via the Internet and vote during the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80" w:after="0"/>
              <w:jc w:val="left"/>
              <w:rPr>
                <w:rFonts w:ascii="Times New Roman" w:hAnsi="Times New Roman"/>
                <w:b/>
                <w:sz w:val="16"/>
              </w:rPr>
            </w:pPr>
            <w:r>
              <w:rPr>
                <w:rFonts w:ascii="Times New Roman" w:hAnsi="Times New Roman"/>
                <w:b/>
                <w:sz w:val="16"/>
              </w:rPr>
              <w:t>VOTE BY PHONE - 1-800-690-6903</w:t>
            </w:r>
          </w:p>
          <w:p>
            <w:pPr>
              <w:pStyle w:val="TableContents"/>
              <w:bidi w:val="0"/>
              <w:spacing w:before="0" w:after="0"/>
              <w:jc w:val="left"/>
              <w:rPr>
                <w:rFonts w:ascii="Times New Roman" w:hAnsi="Times New Roman"/>
                <w:sz w:val="16"/>
              </w:rPr>
            </w:pPr>
            <w:r>
              <w:rPr>
                <w:rFonts w:ascii="Times New Roman" w:hAnsi="Times New Roman"/>
                <w:sz w:val="16"/>
              </w:rPr>
              <w:t>Use any touch-tone telephone to transmit your voting instructions. Vote by 11:59 P.M. ET on August 26, 2026 for shares held directly and by 11:59 P.M. ET on August 24, 2026 for shares held in a Plan. Have your proxy card in hand when you call and then follow the instructions.</w:t>
            </w:r>
          </w:p>
          <w:p>
            <w:pPr>
              <w:pStyle w:val="TableContents"/>
              <w:bidi w:val="0"/>
              <w:spacing w:before="0" w:after="0"/>
              <w:jc w:val="left"/>
              <w:rPr/>
            </w:pPr>
            <w:r>
              <w:rPr/>
              <w:t> </w:t>
            </w:r>
          </w:p>
          <w:p>
            <w:pPr>
              <w:pStyle w:val="TableContents"/>
              <w:bidi w:val="0"/>
              <w:spacing w:before="80" w:after="0"/>
              <w:jc w:val="left"/>
              <w:rPr>
                <w:rFonts w:ascii="Times New Roman" w:hAnsi="Times New Roman"/>
                <w:b/>
                <w:sz w:val="16"/>
              </w:rPr>
            </w:pPr>
            <w:r>
              <w:rPr>
                <w:rFonts w:ascii="Times New Roman" w:hAnsi="Times New Roman"/>
                <w:b/>
                <w:sz w:val="16"/>
              </w:rPr>
              <w:t>VOTE BY MAIL</w:t>
            </w:r>
          </w:p>
          <w:p>
            <w:pPr>
              <w:pStyle w:val="TableContents"/>
              <w:bidi w:val="0"/>
              <w:spacing w:before="0" w:after="20"/>
              <w:jc w:val="left"/>
              <w:rPr>
                <w:rFonts w:ascii="Times New Roman" w:hAnsi="Times New Roman"/>
                <w:sz w:val="16"/>
              </w:rPr>
            </w:pPr>
            <w:r>
              <w:rPr>
                <w:rFonts w:ascii="Times New Roman" w:hAnsi="Times New Roman"/>
                <w:sz w:val="16"/>
              </w:rPr>
              <w:t>Mark, sign and date your proxy card and return it in the postage-paid envelope we have provided or return it to Vote Processing, c/o Broadridge, 51 Mercedes Way, Edgewood, NY 11717.</w:t>
            </w:r>
          </w:p>
        </w:tc>
      </w:tr>
    </w:tbl>
    <w:p>
      <w:pPr>
        <w:pStyle w:val="TextBody"/>
        <w:bidi w:val="0"/>
        <w:spacing w:before="2400" w:after="0"/>
        <w:jc w:val="left"/>
        <w:rPr>
          <w:rFonts w:ascii="Times New Roman" w:hAnsi="Times New Roman"/>
          <w:sz w:val="16"/>
        </w:rPr>
      </w:pPr>
      <w:r>
        <w:rPr>
          <w:rFonts w:ascii="Times New Roman" w:hAnsi="Times New Roman"/>
          <w:sz w:val="16"/>
        </w:rPr>
        <w:t xml:space="preserve">TO VOTE, MARK BLOCKS BELOW IN BLUE OR BLACK INK AS FOLLOWS: </w:t>
      </w:r>
    </w:p>
    <w:p>
      <w:pPr>
        <w:pStyle w:val="TextBody"/>
        <w:bidi w:val="0"/>
        <w:spacing w:before="0" w:after="0"/>
        <w:jc w:val="right"/>
        <w:rPr>
          <w:rFonts w:ascii="Times New Roman" w:hAnsi="Times New Roman"/>
          <w:sz w:val="16"/>
        </w:rPr>
      </w:pPr>
      <w:r>
        <w:rPr>
          <w:rFonts w:ascii="Times New Roman" w:hAnsi="Times New Roman"/>
          <w:sz w:val="16"/>
        </w:rPr>
        <w:t xml:space="preserve">T01143-P54877        KEEP THIS PORTION FOR YOUR RECORDS </w:t>
      </w:r>
    </w:p>
    <w:p>
      <w:pPr>
        <w:pStyle w:val="TextBody"/>
        <w:bidi w:val="0"/>
        <w:spacing w:lineRule="atLeast" w:line="142" w:before="0" w:after="0"/>
        <w:jc w:val="left"/>
        <w:rPr/>
      </w:pPr>
      <w:r>
        <w:rPr/>
        <w:t xml:space="preserve">— — — — — — — — — — — — — — — — — — — — — — — — — — — — — — — — — — — — — — — — — — — — — — — — — — —  </w:t>
      </w:r>
    </w:p>
    <w:p>
      <w:pPr>
        <w:pStyle w:val="TextBody"/>
        <w:bidi w:val="0"/>
        <w:spacing w:before="0" w:after="0"/>
        <w:jc w:val="right"/>
        <w:rPr>
          <w:rFonts w:ascii="Times New Roman" w:hAnsi="Times New Roman"/>
          <w:sz w:val="16"/>
        </w:rPr>
      </w:pPr>
      <w:r>
        <w:rPr>
          <w:rFonts w:ascii="Times New Roman" w:hAnsi="Times New Roman"/>
          <w:sz w:val="16"/>
        </w:rPr>
        <w:t xml:space="preserve">DETACH AND RETURN THIS PORTION ONLY </w:t>
      </w:r>
    </w:p>
    <w:p>
      <w:pPr>
        <w:pStyle w:val="TextBody"/>
        <w:bidi w:val="0"/>
        <w:spacing w:lineRule="atLeast" w:line="142"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tbl>
      <w:tblPr>
        <w:tblW w:w="11048" w:type="dxa"/>
        <w:jc w:val="left"/>
        <w:tblInd w:w="0" w:type="dxa"/>
        <w:tblLayout w:type="fixed"/>
        <w:tblCellMar>
          <w:top w:w="0" w:type="dxa"/>
          <w:left w:w="0" w:type="dxa"/>
          <w:bottom w:w="0" w:type="dxa"/>
          <w:right w:w="0" w:type="dxa"/>
        </w:tblCellMar>
      </w:tblPr>
      <w:tblGrid>
        <w:gridCol w:w="38"/>
        <w:gridCol w:w="120"/>
        <w:gridCol w:w="710"/>
        <w:gridCol w:w="240"/>
        <w:gridCol w:w="1010"/>
        <w:gridCol w:w="120"/>
        <w:gridCol w:w="290"/>
        <w:gridCol w:w="120"/>
        <w:gridCol w:w="695"/>
        <w:gridCol w:w="120"/>
        <w:gridCol w:w="545"/>
        <w:gridCol w:w="120"/>
        <w:gridCol w:w="4535"/>
        <w:gridCol w:w="120"/>
        <w:gridCol w:w="395"/>
        <w:gridCol w:w="120"/>
        <w:gridCol w:w="800"/>
        <w:gridCol w:w="12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118" w:type="dxa"/>
            <w:gridSpan w:val="5"/>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CSW INDUSTRIALS, INC.</w:t>
            </w:r>
          </w:p>
          <w:p>
            <w:pPr>
              <w:pStyle w:val="TableContents"/>
              <w:bidi w:val="0"/>
              <w:spacing w:before="0" w:after="0"/>
              <w:jc w:val="left"/>
              <w:rPr/>
            </w:pPr>
            <w:r>
              <w:rPr/>
              <w:t>  </w:t>
            </w:r>
            <w:r>
              <w:rPr>
                <w:rFonts w:ascii="Times New Roman" w:hAnsi="Times New Roman"/>
                <w:b/>
                <w:sz w:val="16"/>
              </w:rPr>
              <w:t>The Board of Directors recommends you vote FOR</w:t>
            </w:r>
          </w:p>
          <w:p>
            <w:pPr>
              <w:pStyle w:val="TableContents"/>
              <w:bidi w:val="0"/>
              <w:spacing w:before="0" w:after="0"/>
              <w:jc w:val="left"/>
              <w:rPr/>
            </w:pPr>
            <w:r>
              <w:rPr/>
              <w:t>  </w:t>
            </w:r>
            <w:r>
              <w:rPr>
                <w:rFonts w:ascii="Times New Roman" w:hAnsi="Times New Roman"/>
                <w:b/>
                <w:sz w:val="16"/>
              </w:rPr>
              <w:t>the following:</w:t>
            </w:r>
          </w:p>
          <w:p>
            <w:pPr>
              <w:pStyle w:val="TableContents"/>
              <w:bidi w:val="0"/>
              <w:spacing w:before="0" w:after="0"/>
              <w:jc w:val="left"/>
              <w:rPr/>
            </w:pPr>
            <w:r>
              <w:rPr/>
              <w:t> </w:t>
            </w:r>
          </w:p>
          <w:p>
            <w:pPr>
              <w:pStyle w:val="TableContents"/>
              <w:bidi w:val="0"/>
              <w:spacing w:before="60" w:after="20"/>
              <w:jc w:val="left"/>
              <w:rPr>
                <w:rFonts w:ascii="Times New Roman" w:hAnsi="Times New Roman"/>
                <w:sz w:val="16"/>
              </w:rPr>
            </w:pPr>
            <w:r>
              <w:rPr>
                <w:rFonts w:ascii="Times New Roman" w:hAnsi="Times New Roman"/>
                <w:sz w:val="16"/>
              </w:rPr>
              <w:t>1.  Election of Directors.</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For All</w:t>
            </w:r>
          </w:p>
          <w:p>
            <w:pPr>
              <w:pStyle w:val="TableContents"/>
              <w:bidi w:val="0"/>
              <w:spacing w:before="0" w:after="0"/>
              <w:jc w:val="left"/>
              <w:rPr/>
            </w:pPr>
            <w:r>
              <w:rPr/>
              <w:t> </w:t>
            </w:r>
          </w:p>
          <w:p>
            <w:pPr>
              <w:pStyle w:val="TableContents"/>
              <w:bidi w:val="0"/>
              <w:spacing w:before="120" w:after="20"/>
              <w:jc w:val="center"/>
              <w:rPr/>
            </w:pPr>
            <w:r>
              <w:rPr/>
              <w:t>☐</w:t>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Withhold</w:t>
            </w:r>
          </w:p>
          <w:p>
            <w:pPr>
              <w:pStyle w:val="TableContents"/>
              <w:bidi w:val="0"/>
              <w:spacing w:before="0" w:after="0"/>
              <w:jc w:val="center"/>
              <w:rPr>
                <w:rFonts w:ascii="Times New Roman" w:hAnsi="Times New Roman"/>
                <w:b/>
                <w:sz w:val="16"/>
              </w:rPr>
            </w:pPr>
            <w:r>
              <w:rPr>
                <w:rFonts w:ascii="Times New Roman" w:hAnsi="Times New Roman"/>
                <w:b/>
                <w:sz w:val="16"/>
              </w:rPr>
              <w:t>All</w:t>
            </w:r>
          </w:p>
          <w:p>
            <w:pPr>
              <w:pStyle w:val="TableContents"/>
              <w:bidi w:val="0"/>
              <w:spacing w:before="0" w:after="0"/>
              <w:jc w:val="left"/>
              <w:rPr/>
            </w:pPr>
            <w:r>
              <w:rPr/>
              <w:t> </w:t>
            </w:r>
          </w:p>
          <w:p>
            <w:pPr>
              <w:pStyle w:val="TableContents"/>
              <w:bidi w:val="0"/>
              <w:spacing w:before="120" w:after="20"/>
              <w:jc w:val="center"/>
              <w:rPr/>
            </w:pPr>
            <w:r>
              <w:rPr/>
              <w: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For All Except</w:t>
            </w:r>
          </w:p>
          <w:p>
            <w:pPr>
              <w:pStyle w:val="TableContents"/>
              <w:bidi w:val="0"/>
              <w:spacing w:before="0" w:after="0"/>
              <w:jc w:val="left"/>
              <w:rPr/>
            </w:pPr>
            <w:r>
              <w:rPr/>
              <w:t> </w:t>
            </w:r>
          </w:p>
          <w:p>
            <w:pPr>
              <w:pStyle w:val="TableContents"/>
              <w:bidi w:val="0"/>
              <w:spacing w:before="120" w:after="20"/>
              <w:jc w:val="center"/>
              <w:rPr/>
            </w:pPr>
            <w:r>
              <w:rPr/>
              <w:t>☐</w:t>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To withhold authority to vote for any individual nominee(s), mark “For All Except” and write the number(s) of the nominee(s) on the line below.</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0"/>
              <w:jc w:val="left"/>
              <w:rPr/>
            </w:pPr>
            <w:r>
              <w:rPr/>
              <w:t>   </w:t>
            </w:r>
            <w:r>
              <w:rPr>
                <w:rFonts w:ascii="Times New Roman" w:hAnsi="Times New Roman"/>
                <w:b/>
                <w:sz w:val="16"/>
              </w:rPr>
              <w:t>Nominees:</w:t>
            </w:r>
          </w:p>
        </w:tc>
        <w:tc>
          <w:tcPr>
            <w:tcW w:w="2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pBdr>
                <w:bottom w:val="single" w:sz="2" w:space="1" w:color="000000"/>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right w:val="single" w:sz="16" w:space="0" w:color="000000"/>
            </w:tcBorders>
            <w:tcMar>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01)  Joseph B. Armes</w:t>
            </w:r>
          </w:p>
          <w:p>
            <w:pPr>
              <w:pStyle w:val="TableContents"/>
              <w:bidi w:val="0"/>
              <w:spacing w:before="0" w:after="0"/>
              <w:jc w:val="left"/>
              <w:rPr>
                <w:rFonts w:ascii="Times New Roman" w:hAnsi="Times New Roman"/>
                <w:sz w:val="16"/>
              </w:rPr>
            </w:pPr>
            <w:r>
              <w:rPr>
                <w:rFonts w:ascii="Times New Roman" w:hAnsi="Times New Roman"/>
                <w:sz w:val="16"/>
              </w:rPr>
              <w:t>02)  Darron K. Ash</w:t>
            </w:r>
          </w:p>
          <w:p>
            <w:pPr>
              <w:pStyle w:val="TableContents"/>
              <w:bidi w:val="0"/>
              <w:spacing w:before="0" w:after="0"/>
              <w:jc w:val="left"/>
              <w:rPr>
                <w:rFonts w:ascii="Times New Roman" w:hAnsi="Times New Roman"/>
                <w:sz w:val="16"/>
              </w:rPr>
            </w:pPr>
            <w:r>
              <w:rPr>
                <w:rFonts w:ascii="Times New Roman" w:hAnsi="Times New Roman"/>
                <w:sz w:val="16"/>
              </w:rPr>
              <w:t>03)  Michael R. Gambrell</w:t>
            </w:r>
          </w:p>
          <w:p>
            <w:pPr>
              <w:pStyle w:val="TableContents"/>
              <w:bidi w:val="0"/>
              <w:spacing w:before="0" w:after="20"/>
              <w:jc w:val="left"/>
              <w:rPr>
                <w:rFonts w:ascii="Times New Roman" w:hAnsi="Times New Roman"/>
                <w:sz w:val="16"/>
              </w:rPr>
            </w:pPr>
            <w:r>
              <w:rPr>
                <w:rFonts w:ascii="Times New Roman" w:hAnsi="Times New Roman"/>
                <w:sz w:val="16"/>
              </w:rPr>
              <w:t>04)  Bobby Griffin</w:t>
            </w:r>
          </w:p>
        </w:tc>
        <w:tc>
          <w:tcPr>
            <w:tcW w:w="24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05)  Terry L. Johnston</w:t>
            </w:r>
          </w:p>
          <w:p>
            <w:pPr>
              <w:pStyle w:val="TableContents"/>
              <w:bidi w:val="0"/>
              <w:spacing w:before="0" w:after="0"/>
              <w:jc w:val="left"/>
              <w:rPr>
                <w:rFonts w:ascii="Times New Roman" w:hAnsi="Times New Roman"/>
                <w:sz w:val="16"/>
              </w:rPr>
            </w:pPr>
            <w:r>
              <w:rPr>
                <w:rFonts w:ascii="Times New Roman" w:hAnsi="Times New Roman"/>
                <w:sz w:val="16"/>
              </w:rPr>
              <w:t>06)  Linda A. Livingstone</w:t>
            </w:r>
          </w:p>
          <w:p>
            <w:pPr>
              <w:pStyle w:val="TableContents"/>
              <w:bidi w:val="0"/>
              <w:spacing w:before="0" w:after="20"/>
              <w:jc w:val="left"/>
              <w:rPr>
                <w:rFonts w:ascii="Times New Roman" w:hAnsi="Times New Roman"/>
                <w:sz w:val="16"/>
              </w:rPr>
            </w:pPr>
            <w:r>
              <w:rPr>
                <w:rFonts w:ascii="Times New Roman" w:hAnsi="Times New Roman"/>
                <w:sz w:val="16"/>
              </w:rPr>
              <w:t>07)  Anne B. Motsenbocker</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8625" w:type="dxa"/>
            <w:gridSpan w:val="1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05" w:type="dxa"/>
            <w:gridSpan w:val="11"/>
            <w:tcBorders/>
            <w:vAlign w:val="center"/>
          </w:tcPr>
          <w:p>
            <w:pPr>
              <w:pStyle w:val="TableContents"/>
              <w:bidi w:val="0"/>
              <w:spacing w:before="0" w:after="283"/>
              <w:jc w:val="left"/>
              <w:rPr>
                <w:b/>
              </w:rPr>
            </w:pPr>
            <w:r>
              <w:rPr>
                <w:b/>
              </w:rPr>
              <w:t>The Board of Directors recommends you vote FOR proposals 2 and 3:</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8625" w:type="dxa"/>
            <w:gridSpan w:val="1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05" w:type="dxa"/>
            <w:gridSpan w:val="11"/>
            <w:tcBorders/>
            <w:vAlign w:val="center"/>
          </w:tcPr>
          <w:p>
            <w:pPr>
              <w:pStyle w:val="TableContents"/>
              <w:bidi w:val="0"/>
              <w:spacing w:before="0" w:after="0"/>
              <w:jc w:val="left"/>
              <w:rPr>
                <w:rFonts w:ascii="Times New Roman" w:hAnsi="Times New Roman"/>
                <w:sz w:val="16"/>
              </w:rPr>
            </w:pPr>
            <w:r>
              <w:rPr>
                <w:rFonts w:ascii="Times New Roman" w:hAnsi="Times New Roman"/>
                <w:sz w:val="16"/>
              </w:rPr>
              <w:t>2.  Approval, by non-binding vote, of executive compensation.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8625" w:type="dxa"/>
            <w:gridSpan w:val="1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05" w:type="dxa"/>
            <w:gridSpan w:val="11"/>
            <w:tcBorders/>
            <w:vAlign w:val="center"/>
          </w:tcPr>
          <w:p>
            <w:pPr>
              <w:pStyle w:val="TableContents"/>
              <w:bidi w:val="0"/>
              <w:spacing w:before="0" w:after="0"/>
              <w:jc w:val="left"/>
              <w:rPr>
                <w:rFonts w:ascii="Times New Roman" w:hAnsi="Times New Roman"/>
                <w:sz w:val="16"/>
              </w:rPr>
            </w:pPr>
            <w:r>
              <w:rPr>
                <w:rFonts w:ascii="Times New Roman" w:hAnsi="Times New Roman"/>
                <w:sz w:val="16"/>
              </w:rPr>
              <w:t>3.  The ratification of Grant Thornton LLP to serve as independent registered public accounting firm for the fiscal year ending March 31, 2027.</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9140" w:type="dxa"/>
            <w:gridSpan w:val="14"/>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20" w:type="dxa"/>
            <w:gridSpan w:val="13"/>
            <w:tcBorders/>
            <w:vAlign w:val="center"/>
          </w:tcPr>
          <w:p>
            <w:pPr>
              <w:pStyle w:val="TableContents"/>
              <w:bidi w:val="0"/>
              <w:spacing w:before="0" w:after="283"/>
              <w:jc w:val="left"/>
              <w:rPr/>
            </w:pPr>
            <w:r>
              <w:rPr>
                <w:b/>
              </w:rPr>
              <w:t xml:space="preserve">NOTE: </w:t>
            </w:r>
            <w:r>
              <w:rPr/>
              <w:t>Such other business as may properly come before the meeting or any adjournment thereof.</w:t>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3305" w:type="dxa"/>
            <w:gridSpan w:val="8"/>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85" w:type="dxa"/>
            <w:gridSpan w:val="7"/>
            <w:tcBorders/>
            <w:vAlign w:val="center"/>
          </w:tcPr>
          <w:p>
            <w:pPr>
              <w:pStyle w:val="TableContents"/>
              <w:bidi w:val="0"/>
              <w:spacing w:before="0" w:after="283"/>
              <w:jc w:val="left"/>
              <w:rPr/>
            </w:pPr>
            <w:r>
              <w:rPr/>
              <w:t>Please sign exactly as your name(s) appear(s) hereon. When signing as attorney,</w:t>
              <w:br/>
              <w:t>executor, administrator, or other fiduciary, please give full title as such. Joint owners</w:t>
              <w:br/>
              <w:t>should each sign personally. All holders must sign. If a corporation or partnership,</w:t>
              <w:br/>
              <w:t>please sign in full corporate or partnership name by authorized officer.</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2" w:space="2" w:color="000000"/>
        </w:rPr>
      </w:pPr>
      <w:r>
        <w:rPr>
          <w:bdr w:val="single" w:sz="12" w:space="2" w:color="000000"/>
        </w:rPr>
        <w:t> </w:t>
      </w:r>
    </w:p>
    <w:tbl>
      <w:tblPr>
        <w:tblW w:w="10205" w:type="dxa"/>
        <w:jc w:val="left"/>
        <w:tblInd w:w="0" w:type="dxa"/>
        <w:tblLayout w:type="fixed"/>
        <w:tblCellMar>
          <w:top w:w="0" w:type="dxa"/>
          <w:left w:w="0" w:type="dxa"/>
          <w:bottom w:w="0" w:type="dxa"/>
          <w:right w:w="0" w:type="dxa"/>
        </w:tblCellMar>
      </w:tblPr>
      <w:tblGrid>
        <w:gridCol w:w="38"/>
        <w:gridCol w:w="120"/>
        <w:gridCol w:w="2805"/>
        <w:gridCol w:w="120"/>
        <w:gridCol w:w="489"/>
        <w:gridCol w:w="120"/>
        <w:gridCol w:w="2061"/>
        <w:gridCol w:w="120"/>
        <w:gridCol w:w="1679"/>
        <w:gridCol w:w="120"/>
        <w:gridCol w:w="335"/>
        <w:gridCol w:w="120"/>
        <w:gridCol w:w="207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292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0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181"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19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16" w:space="0" w:color="000000"/>
            </w:tcBorders>
            <w:tcMar>
              <w:left w:w="28" w:type="dxa"/>
              <w:bottom w:w="28" w:type="dxa"/>
            </w:tcMar>
            <w:vAlign w:val="center"/>
          </w:tcPr>
          <w:p>
            <w:pPr>
              <w:pStyle w:val="TableContents"/>
              <w:bidi w:val="0"/>
              <w:spacing w:before="0" w:after="283"/>
              <w:jc w:val="left"/>
              <w:rPr/>
            </w:pPr>
            <w:r>
              <w:rPr/>
              <w:t>  </w:t>
            </w:r>
          </w:p>
        </w:tc>
        <w:tc>
          <w:tcPr>
            <w:tcW w:w="2805" w:type="dxa"/>
            <w:tcBorders>
              <w:bottom w:val="single" w:sz="1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000000"/>
              <w:bottom w:val="single" w:sz="16" w:space="0" w:color="000000"/>
            </w:tcBorders>
            <w:tcMar>
              <w:left w:w="28" w:type="dxa"/>
              <w:bottom w:w="28" w:type="dxa"/>
            </w:tcMar>
            <w:vAlign w:val="center"/>
          </w:tcPr>
          <w:p>
            <w:pPr>
              <w:pStyle w:val="TableContents"/>
              <w:bidi w:val="0"/>
              <w:spacing w:before="0" w:after="283"/>
              <w:jc w:val="left"/>
              <w:rPr/>
            </w:pPr>
            <w:r>
              <w:rPr/>
              <w:t>  </w:t>
            </w:r>
          </w:p>
        </w:tc>
        <w:tc>
          <w:tcPr>
            <w:tcW w:w="489" w:type="dxa"/>
            <w:tcBorders>
              <w:bottom w:val="single" w:sz="1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1" w:type="dxa"/>
            <w:tcBorders/>
            <w:vAlign w:val="center"/>
          </w:tcPr>
          <w:p>
            <w:pPr>
              <w:pStyle w:val="TableContents"/>
              <w:bidi w:val="0"/>
              <w:spacing w:before="0" w:after="283"/>
              <w:jc w:val="left"/>
              <w:rPr/>
            </w:pPr>
            <w:r>
              <w:rPr/>
              <w:t>         </w:t>
            </w:r>
          </w:p>
        </w:tc>
        <w:tc>
          <w:tcPr>
            <w:tcW w:w="120" w:type="dxa"/>
            <w:tcBorders>
              <w:left w:val="single" w:sz="6" w:space="0" w:color="000000"/>
              <w:bottom w:val="single" w:sz="16" w:space="0" w:color="000000"/>
            </w:tcBorders>
            <w:tcMar>
              <w:left w:w="28" w:type="dxa"/>
              <w:bottom w:w="28" w:type="dxa"/>
            </w:tcMar>
            <w:vAlign w:val="center"/>
          </w:tcPr>
          <w:p>
            <w:pPr>
              <w:pStyle w:val="TableContents"/>
              <w:bidi w:val="0"/>
              <w:spacing w:before="0" w:after="283"/>
              <w:jc w:val="left"/>
              <w:rPr/>
            </w:pPr>
            <w:r>
              <w:rPr/>
              <w:t>  </w:t>
            </w:r>
          </w:p>
        </w:tc>
        <w:tc>
          <w:tcPr>
            <w:tcW w:w="1679" w:type="dxa"/>
            <w:tcBorders>
              <w:bottom w:val="single" w:sz="1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000000"/>
              <w:bottom w:val="single" w:sz="16" w:space="0" w:color="000000"/>
            </w:tcBorders>
            <w:tcMar>
              <w:left w:w="28" w:type="dxa"/>
              <w:bottom w:w="28" w:type="dxa"/>
            </w:tcMar>
            <w:vAlign w:val="center"/>
          </w:tcPr>
          <w:p>
            <w:pPr>
              <w:pStyle w:val="TableContents"/>
              <w:bidi w:val="0"/>
              <w:spacing w:before="0" w:after="283"/>
              <w:jc w:val="left"/>
              <w:rPr/>
            </w:pPr>
            <w:r>
              <w:rPr/>
              <w:t>  </w:t>
            </w:r>
          </w:p>
        </w:tc>
        <w:tc>
          <w:tcPr>
            <w:tcW w:w="335" w:type="dxa"/>
            <w:tcBorders>
              <w:bottom w:val="single" w:sz="1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[PLEASE SIGN WITHIN BOX]</w:t>
            </w:r>
          </w:p>
        </w:tc>
        <w:tc>
          <w:tcPr>
            <w:tcW w:w="12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120" w:type="dxa"/>
            <w:tcBorders/>
            <w:vAlign w:val="center"/>
          </w:tcPr>
          <w:p>
            <w:pPr>
              <w:pStyle w:val="TableContents"/>
              <w:bidi w:val="0"/>
              <w:spacing w:before="0" w:after="283"/>
              <w:jc w:val="left"/>
              <w:rPr/>
            </w:pPr>
            <w:r>
              <w:rPr/>
              <w:t>  </w:t>
            </w:r>
          </w:p>
        </w:tc>
        <w:tc>
          <w:tcPr>
            <w:tcW w:w="20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12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120" w:type="dxa"/>
            <w:tcBorders/>
            <w:vAlign w:val="center"/>
          </w:tcPr>
          <w:p>
            <w:pPr>
              <w:pStyle w:val="TableContents"/>
              <w:bidi w:val="0"/>
              <w:spacing w:before="0" w:after="283"/>
              <w:jc w:val="left"/>
              <w:rPr/>
            </w:pPr>
            <w:r>
              <w:rPr/>
              <w:t>  </w:t>
            </w:r>
          </w:p>
        </w:tc>
        <w:tc>
          <w:tcPr>
            <w:tcW w:w="207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72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of Meeting, Proxy Statement, and Annual Report on Form 10-K are available at www.proxyvote.com. </w:t>
      </w:r>
    </w:p>
    <w:p>
      <w:pPr>
        <w:pStyle w:val="TextBody"/>
        <w:bidi w:val="0"/>
        <w:spacing w:before="0" w:after="0"/>
        <w:jc w:val="left"/>
        <w:rPr/>
      </w:pPr>
      <w:r>
        <w:rPr/>
        <w:t> </w:t>
      </w:r>
    </w:p>
    <w:p>
      <w:pPr>
        <w:pStyle w:val="TextBody"/>
        <w:bidi w:val="0"/>
        <w:spacing w:before="720" w:after="0"/>
        <w:jc w:val="left"/>
        <w:rPr/>
      </w:pPr>
      <w:r>
        <w:rPr/>
        <w:t xml:space="preserve">— — — — — — — — — — — — — — — — — — — — — — — — — — — — — — — — — — — — — — — — — — — — — — — — — — —  </w:t>
      </w:r>
    </w:p>
    <w:p>
      <w:pPr>
        <w:pStyle w:val="TextBody"/>
        <w:bidi w:val="0"/>
        <w:spacing w:before="80" w:after="0"/>
        <w:jc w:val="right"/>
        <w:rPr>
          <w:rFonts w:ascii="Times New Roman" w:hAnsi="Times New Roman"/>
          <w:sz w:val="14"/>
        </w:rPr>
      </w:pPr>
      <w:r>
        <w:rPr>
          <w:rFonts w:ascii="Times New Roman" w:hAnsi="Times New Roman"/>
          <w:sz w:val="14"/>
        </w:rPr>
        <w:t xml:space="preserve">T01144-P54877   </w:t>
      </w:r>
    </w:p>
    <w:p>
      <w:pPr>
        <w:pStyle w:val="TextBody"/>
        <w:bidi w:val="0"/>
        <w:spacing w:before="0" w:after="0"/>
        <w:jc w:val="left"/>
        <w:rPr/>
      </w:pPr>
      <w:r>
        <w:rPr/>
        <w:t> </w:t>
      </w:r>
    </w:p>
    <w:p>
      <w:pPr>
        <w:pStyle w:val="TextBody"/>
        <w:bidi w:val="0"/>
        <w:spacing w:before="0" w:after="0"/>
        <w:jc w:val="left"/>
        <w:rPr>
          <w:bdr w:val="single" w:sz="12" w:space="2" w:color="000000"/>
        </w:rPr>
      </w:pPr>
      <w:r>
        <w:rPr>
          <w:bdr w:val="single" w:sz="12" w:space="2" w:color="000000"/>
        </w:rPr>
        <w:t> </w:t>
      </w:r>
    </w:p>
    <w:p>
      <w:pPr>
        <w:pStyle w:val="TextBody"/>
        <w:pBdr/>
        <w:bidi w:val="0"/>
        <w:spacing w:before="0" w:after="0"/>
        <w:jc w:val="center"/>
        <w:rPr>
          <w:rFonts w:ascii="Times New Roman" w:hAnsi="Times New Roman"/>
          <w:b/>
          <w:sz w:val="24"/>
          <w:bdr w:val="single" w:sz="12" w:space="2" w:color="000000"/>
        </w:rPr>
      </w:pPr>
      <w:r>
        <w:rPr>
          <w:rFonts w:ascii="Times New Roman" w:hAnsi="Times New Roman"/>
          <w:b/>
          <w:sz w:val="24"/>
          <w:bdr w:val="single" w:sz="12" w:space="2" w:color="000000"/>
        </w:rPr>
        <w:t xml:space="preserve">CSW INDUSTRIALS, INC. </w:t>
      </w:r>
    </w:p>
    <w:p>
      <w:pPr>
        <w:pStyle w:val="TextBody"/>
        <w:bidi w:val="0"/>
        <w:spacing w:before="0" w:after="0"/>
        <w:jc w:val="center"/>
        <w:rPr>
          <w:rFonts w:ascii="Times New Roman" w:hAnsi="Times New Roman"/>
          <w:b/>
          <w:sz w:val="24"/>
          <w:bdr w:val="single" w:sz="12" w:space="2" w:color="000000"/>
        </w:rPr>
      </w:pPr>
      <w:r>
        <w:rPr>
          <w:rFonts w:ascii="Times New Roman" w:hAnsi="Times New Roman"/>
          <w:b/>
          <w:sz w:val="24"/>
          <w:bdr w:val="single" w:sz="12" w:space="2" w:color="000000"/>
        </w:rPr>
        <w:t xml:space="preserve">2026 Annual Meeting of Stockholders </w:t>
      </w:r>
    </w:p>
    <w:p>
      <w:pPr>
        <w:pStyle w:val="TextBody"/>
        <w:bidi w:val="0"/>
        <w:spacing w:before="0" w:after="0"/>
        <w:jc w:val="center"/>
        <w:rPr>
          <w:rFonts w:ascii="Times New Roman" w:hAnsi="Times New Roman"/>
          <w:b/>
          <w:sz w:val="24"/>
          <w:bdr w:val="single" w:sz="12" w:space="2" w:color="000000"/>
        </w:rPr>
      </w:pPr>
      <w:r>
        <w:rPr>
          <w:rFonts w:ascii="Times New Roman" w:hAnsi="Times New Roman"/>
          <w:b/>
          <w:sz w:val="24"/>
          <w:bdr w:val="single" w:sz="12" w:space="2" w:color="000000"/>
        </w:rPr>
        <w:t xml:space="preserve">August 27, 2026 12:30 p.m., Central Time </w:t>
      </w:r>
    </w:p>
    <w:p>
      <w:pPr>
        <w:pStyle w:val="TextBody"/>
        <w:bidi w:val="0"/>
        <w:spacing w:before="0" w:after="0"/>
        <w:jc w:val="center"/>
        <w:rPr>
          <w:rFonts w:ascii="Times New Roman" w:hAnsi="Times New Roman"/>
          <w:b/>
          <w:sz w:val="24"/>
          <w:bdr w:val="single" w:sz="12" w:space="2" w:color="000000"/>
        </w:rPr>
      </w:pPr>
      <w:r>
        <w:rPr>
          <w:rFonts w:ascii="Times New Roman" w:hAnsi="Times New Roman"/>
          <w:b/>
          <w:sz w:val="24"/>
          <w:bdr w:val="single" w:sz="12" w:space="2" w:color="000000"/>
        </w:rPr>
        <w:t xml:space="preserve">THIS PROXY IS SOLICITED BY THE BOARD OF DIRECTORS </w:t>
      </w:r>
    </w:p>
    <w:p>
      <w:pPr>
        <w:pStyle w:val="TextBody"/>
        <w:bidi w:val="0"/>
        <w:spacing w:before="240" w:after="0"/>
        <w:jc w:val="left"/>
        <w:rPr>
          <w:rFonts w:ascii="Times New Roman" w:hAnsi="Times New Roman"/>
          <w:sz w:val="20"/>
          <w:bdr w:val="single" w:sz="12" w:space="2" w:color="000000"/>
        </w:rPr>
      </w:pPr>
      <w:r>
        <w:rPr>
          <w:rFonts w:ascii="Times New Roman" w:hAnsi="Times New Roman"/>
          <w:sz w:val="20"/>
          <w:bdr w:val="single" w:sz="12" w:space="2" w:color="000000"/>
        </w:rPr>
        <w:t xml:space="preserve">The stockholders hereby appoint(s) Joseph B. Armes, Linda A. Livingstone, and Luke E. Alverson, or any of them, as proxies, each with the power to appoint their substitute, and hereby authorize(s) them to represent and to vote, as designated on the reverse side of this ballot, all of the shares of common stock of CSW INDUSTRIALS, INC. that the stockholder(s) is/are entitled to vote at the Annual Meeting of Stockholders to be held virtually at www.virtualshareholdermeeting.com/CSW2026 at 12:30 p.m., Central Time on August 27, 2026, and any adjournment or postponement thereof. </w:t>
      </w:r>
    </w:p>
    <w:p>
      <w:pPr>
        <w:pStyle w:val="TextBody"/>
        <w:bidi w:val="0"/>
        <w:spacing w:before="240" w:after="0"/>
        <w:jc w:val="left"/>
        <w:rPr>
          <w:rFonts w:ascii="Times New Roman" w:hAnsi="Times New Roman"/>
          <w:sz w:val="20"/>
          <w:bdr w:val="single" w:sz="12" w:space="2" w:color="000000"/>
        </w:rPr>
      </w:pPr>
      <w:r>
        <w:rPr>
          <w:rFonts w:ascii="Times New Roman" w:hAnsi="Times New Roman"/>
          <w:b/>
          <w:sz w:val="20"/>
          <w:bdr w:val="single" w:sz="12" w:space="2" w:color="000000"/>
        </w:rPr>
        <w:t xml:space="preserve">Participants holding shares in the CSW Industrials, Inc. ESOP: </w:t>
      </w:r>
      <w:r>
        <w:rPr>
          <w:rFonts w:ascii="Times New Roman" w:hAnsi="Times New Roman"/>
          <w:sz w:val="20"/>
          <w:bdr w:val="single" w:sz="12" w:space="2" w:color="000000"/>
        </w:rPr>
        <w:t xml:space="preserve">By marking, signing and dating this card or submitting your voting instruction by telephone or internet, you are instructing Fidelity Investments, the ESOP trustee, to vote the shares of CSW Industrials, Inc. common stock allocated to the ESOP account as instructed. All voting instructions from ESOP plan participants must be received no later than 11:59 P.M. Eastern Time on August 24, 2026. If your instructions are not received by such time, the ESOP shares will be voted as directed by the CSW Industrials, Inc. ESOP Committee. </w:t>
      </w:r>
    </w:p>
    <w:p>
      <w:pPr>
        <w:pStyle w:val="TextBody"/>
        <w:bidi w:val="0"/>
        <w:spacing w:before="240" w:after="0"/>
        <w:jc w:val="left"/>
        <w:rPr>
          <w:rFonts w:ascii="Times New Roman" w:hAnsi="Times New Roman"/>
          <w:b/>
          <w:sz w:val="20"/>
          <w:bdr w:val="single" w:sz="12" w:space="2" w:color="000000"/>
        </w:rPr>
      </w:pPr>
      <w:r>
        <w:rPr>
          <w:rFonts w:ascii="Times New Roman" w:hAnsi="Times New Roman"/>
          <w:b/>
          <w:sz w:val="20"/>
          <w:bdr w:val="single" w:sz="12" w:space="2" w:color="000000"/>
        </w:rPr>
        <w:t xml:space="preserve">THIS PROXY, WHEN PROPERLY EXECUTED, WILL BE VOTED AS DIRECTED BY THE STOCKHOLDER(S). IF NO SUCH DIRECTION IS MADE, THIS PROXY WILL BE VOTED FOR THE ELECTION OF THE NOMINEES FOR THE BOARD OF DIRECTORS LISTED ON THE REVERSE SIDE, FOR PROPOSAL 2, AND FOR PROPOSAL 3. </w:t>
      </w:r>
    </w:p>
    <w:p>
      <w:pPr>
        <w:pStyle w:val="TextBody"/>
        <w:pBdr/>
        <w:bidi w:val="0"/>
        <w:spacing w:before="720" w:after="0"/>
        <w:jc w:val="center"/>
        <w:rPr>
          <w:rFonts w:ascii="Times New Roman" w:hAnsi="Times New Roman"/>
          <w:b/>
          <w:sz w:val="20"/>
          <w:bdr w:val="single" w:sz="12" w:space="2" w:color="000000"/>
        </w:rPr>
      </w:pPr>
      <w:r>
        <w:rPr>
          <w:rFonts w:ascii="Times New Roman" w:hAnsi="Times New Roman"/>
          <w:b/>
          <w:sz w:val="20"/>
          <w:bdr w:val="single" w:sz="12" w:space="2" w:color="000000"/>
        </w:rPr>
        <w:t xml:space="preserve">Continued and to be signed on reverse side </w:t>
      </w:r>
    </w:p>
    <w:p>
      <w:pPr>
        <w:pStyle w:val="TextBody"/>
        <w:bidi w:val="0"/>
        <w:spacing w:before="0" w:after="0"/>
        <w:jc w:val="left"/>
        <w:rPr>
          <w:bdr w:val="single" w:sz="12" w:space="2" w:color="000000"/>
        </w:rPr>
      </w:pPr>
      <w:r>
        <w:rPr>
          <w:bdr w:val="single" w:sz="12" w:space="2"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2.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12.jpeg"/><Relationship Id="rId33" Type="http://schemas.openxmlformats.org/officeDocument/2006/relationships/image" Target="media/image12.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image" Target="media/image26.jpeg"/><Relationship Id="rId40" Type="http://schemas.openxmlformats.org/officeDocument/2006/relationships/image" Target="media/image27.jpeg"/><Relationship Id="rId41" Type="http://schemas.openxmlformats.org/officeDocument/2006/relationships/image" Target="media/image12.jpeg"/><Relationship Id="rId42" Type="http://schemas.openxmlformats.org/officeDocument/2006/relationships/image" Target="media/image28.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12.jpeg"/><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9.jpeg"/><Relationship Id="rId55" Type="http://schemas.openxmlformats.org/officeDocument/2006/relationships/image" Target="media/image35.jpeg"/><Relationship Id="rId56" Type="http://schemas.openxmlformats.org/officeDocument/2006/relationships/image" Target="media/image40.jpeg"/><Relationship Id="rId57" Type="http://schemas.openxmlformats.org/officeDocument/2006/relationships/image" Target="media/image35.jpeg"/><Relationship Id="rId58" Type="http://schemas.openxmlformats.org/officeDocument/2006/relationships/image" Target="media/image35.jpeg"/><Relationship Id="rId59" Type="http://schemas.openxmlformats.org/officeDocument/2006/relationships/image" Target="media/image12.jpeg"/><Relationship Id="rId60" Type="http://schemas.openxmlformats.org/officeDocument/2006/relationships/image" Target="media/image41.jpeg"/><Relationship Id="rId61" Type="http://schemas.openxmlformats.org/officeDocument/2006/relationships/image" Target="media/image42.jpeg"/><Relationship Id="rId62" Type="http://schemas.openxmlformats.org/officeDocument/2006/relationships/image" Target="media/image43.jpeg"/><Relationship Id="rId63" Type="http://schemas.openxmlformats.org/officeDocument/2006/relationships/image" Target="media/image44.jpeg"/><Relationship Id="rId64" Type="http://schemas.openxmlformats.org/officeDocument/2006/relationships/image" Target="media/image45.jpeg"/><Relationship Id="rId65" Type="http://schemas.openxmlformats.org/officeDocument/2006/relationships/image" Target="media/image46.jpeg"/><Relationship Id="rId66" Type="http://schemas.openxmlformats.org/officeDocument/2006/relationships/image" Target="media/image47.jpeg"/><Relationship Id="rId67" Type="http://schemas.openxmlformats.org/officeDocument/2006/relationships/image" Target="media/image45.jpeg"/><Relationship Id="rId68" Type="http://schemas.openxmlformats.org/officeDocument/2006/relationships/image" Target="media/image46.jpeg"/><Relationship Id="rId69" Type="http://schemas.openxmlformats.org/officeDocument/2006/relationships/image" Target="media/image47.jpeg"/><Relationship Id="rId70" Type="http://schemas.openxmlformats.org/officeDocument/2006/relationships/image" Target="media/image48.jpeg"/><Relationship Id="rId71" Type="http://schemas.openxmlformats.org/officeDocument/2006/relationships/image" Target="media/image49.jpeg"/><Relationship Id="rId72" Type="http://schemas.openxmlformats.org/officeDocument/2006/relationships/image" Target="media/image46.jpeg"/><Relationship Id="rId73" Type="http://schemas.openxmlformats.org/officeDocument/2006/relationships/image" Target="media/image47.jpeg"/><Relationship Id="rId74" Type="http://schemas.openxmlformats.org/officeDocument/2006/relationships/image" Target="media/image50.jpeg"/><Relationship Id="rId75" Type="http://schemas.openxmlformats.org/officeDocument/2006/relationships/image" Target="media/image49.jpeg"/><Relationship Id="rId76" Type="http://schemas.openxmlformats.org/officeDocument/2006/relationships/image" Target="media/image46.jpeg"/><Relationship Id="rId77" Type="http://schemas.openxmlformats.org/officeDocument/2006/relationships/image" Target="media/image12.jpeg"/><Relationship Id="rId78" Type="http://schemas.openxmlformats.org/officeDocument/2006/relationships/image" Target="media/image51.jpeg"/><Relationship Id="rId79" Type="http://schemas.openxmlformats.org/officeDocument/2006/relationships/image" Target="media/image52.jpeg"/><Relationship Id="rId80" Type="http://schemas.openxmlformats.org/officeDocument/2006/relationships/image" Target="media/image53.jpeg"/><Relationship Id="rId81" Type="http://schemas.openxmlformats.org/officeDocument/2006/relationships/image" Target="media/image52.jpeg"/><Relationship Id="rId82" Type="http://schemas.openxmlformats.org/officeDocument/2006/relationships/image" Target="media/image53.jpeg"/><Relationship Id="rId83" Type="http://schemas.openxmlformats.org/officeDocument/2006/relationships/image" Target="media/image52.jpeg"/><Relationship Id="rId84" Type="http://schemas.openxmlformats.org/officeDocument/2006/relationships/image" Target="media/image53.jpeg"/><Relationship Id="rId85" Type="http://schemas.openxmlformats.org/officeDocument/2006/relationships/image" Target="media/image52.jpeg"/><Relationship Id="rId86" Type="http://schemas.openxmlformats.org/officeDocument/2006/relationships/image" Target="media/image53.jpeg"/><Relationship Id="rId87" Type="http://schemas.openxmlformats.org/officeDocument/2006/relationships/image" Target="media/image52.jpeg"/><Relationship Id="rId88" Type="http://schemas.openxmlformats.org/officeDocument/2006/relationships/image" Target="media/image53.jpeg"/><Relationship Id="rId89" Type="http://schemas.openxmlformats.org/officeDocument/2006/relationships/image" Target="media/image52.jpeg"/><Relationship Id="rId90" Type="http://schemas.openxmlformats.org/officeDocument/2006/relationships/image" Target="media/image53.jpeg"/><Relationship Id="rId91" Type="http://schemas.openxmlformats.org/officeDocument/2006/relationships/image" Target="media/image52.jpeg"/><Relationship Id="rId92" Type="http://schemas.openxmlformats.org/officeDocument/2006/relationships/image" Target="media/image53.jpeg"/><Relationship Id="rId93" Type="http://schemas.openxmlformats.org/officeDocument/2006/relationships/image" Target="media/image52.jpeg"/><Relationship Id="rId94" Type="http://schemas.openxmlformats.org/officeDocument/2006/relationships/image" Target="media/image12.jpeg"/><Relationship Id="rId95" Type="http://schemas.openxmlformats.org/officeDocument/2006/relationships/image" Target="media/image54.jpeg"/><Relationship Id="rId96" Type="http://schemas.openxmlformats.org/officeDocument/2006/relationships/image" Target="media/image12.jpeg"/><Relationship Id="rId97" Type="http://schemas.openxmlformats.org/officeDocument/2006/relationships/image" Target="media/image55.jpeg"/><Relationship Id="rId98" Type="http://schemas.openxmlformats.org/officeDocument/2006/relationships/image" Target="media/image56.jpeg"/><Relationship Id="rId99" Type="http://schemas.openxmlformats.org/officeDocument/2006/relationships/image" Target="media/image57.jpeg"/><Relationship Id="rId100" Type="http://schemas.openxmlformats.org/officeDocument/2006/relationships/image" Target="media/image58.jpeg"/><Relationship Id="rId101" Type="http://schemas.openxmlformats.org/officeDocument/2006/relationships/image" Target="media/image12.jpeg"/><Relationship Id="rId102" Type="http://schemas.openxmlformats.org/officeDocument/2006/relationships/image" Target="media/image59.jpeg"/><Relationship Id="rId103" Type="http://schemas.openxmlformats.org/officeDocument/2006/relationships/image" Target="media/image60.jpeg"/><Relationship Id="rId104" Type="http://schemas.openxmlformats.org/officeDocument/2006/relationships/image" Target="media/image61.jpeg"/><Relationship Id="rId105" Type="http://schemas.openxmlformats.org/officeDocument/2006/relationships/image" Target="media/image62.jpeg"/><Relationship Id="rId106" Type="http://schemas.openxmlformats.org/officeDocument/2006/relationships/image" Target="media/image63.jpeg"/><Relationship Id="rId107" Type="http://schemas.openxmlformats.org/officeDocument/2006/relationships/image" Target="media/image64.jpeg"/><Relationship Id="rId108" Type="http://schemas.openxmlformats.org/officeDocument/2006/relationships/image" Target="media/image65.jpeg"/><Relationship Id="rId109" Type="http://schemas.openxmlformats.org/officeDocument/2006/relationships/image" Target="media/image66.jpeg"/><Relationship Id="rId110" Type="http://schemas.openxmlformats.org/officeDocument/2006/relationships/image" Target="media/image67.jpeg"/><Relationship Id="rId111" Type="http://schemas.openxmlformats.org/officeDocument/2006/relationships/image" Target="media/image67.jpeg"/><Relationship Id="rId112" Type="http://schemas.openxmlformats.org/officeDocument/2006/relationships/image" Target="media/image67.jpeg"/><Relationship Id="rId113" Type="http://schemas.openxmlformats.org/officeDocument/2006/relationships/image" Target="media/image67.jpeg"/><Relationship Id="rId114" Type="http://schemas.openxmlformats.org/officeDocument/2006/relationships/image" Target="media/image67.jpeg"/><Relationship Id="rId115" Type="http://schemas.openxmlformats.org/officeDocument/2006/relationships/image" Target="media/image67.jpeg"/><Relationship Id="rId116" Type="http://schemas.openxmlformats.org/officeDocument/2006/relationships/image" Target="media/image67.jpeg"/><Relationship Id="rId117" Type="http://schemas.openxmlformats.org/officeDocument/2006/relationships/image" Target="media/image68.jpeg"/><Relationship Id="rId118" Type="http://schemas.openxmlformats.org/officeDocument/2006/relationships/image" Target="media/image69.jpeg"/><Relationship Id="rId119" Type="http://schemas.openxmlformats.org/officeDocument/2006/relationships/image" Target="media/image70.jpeg"/><Relationship Id="rId120" Type="http://schemas.openxmlformats.org/officeDocument/2006/relationships/image" Target="media/image69.jpeg"/><Relationship Id="rId121" Type="http://schemas.openxmlformats.org/officeDocument/2006/relationships/image" Target="media/image69.jpeg"/><Relationship Id="rId122" Type="http://schemas.openxmlformats.org/officeDocument/2006/relationships/image" Target="media/image69.jpeg"/><Relationship Id="rId123" Type="http://schemas.openxmlformats.org/officeDocument/2006/relationships/image" Target="media/image70.jpeg"/><Relationship Id="rId124" Type="http://schemas.openxmlformats.org/officeDocument/2006/relationships/image" Target="media/image71.jpeg"/><Relationship Id="rId125" Type="http://schemas.openxmlformats.org/officeDocument/2006/relationships/image" Target="media/image67.jpeg"/><Relationship Id="rId126" Type="http://schemas.openxmlformats.org/officeDocument/2006/relationships/image" Target="media/image72.jpeg"/><Relationship Id="rId127" Type="http://schemas.openxmlformats.org/officeDocument/2006/relationships/image" Target="media/image67.jpeg"/><Relationship Id="rId128" Type="http://schemas.openxmlformats.org/officeDocument/2006/relationships/image" Target="media/image72.jpeg"/><Relationship Id="rId129" Type="http://schemas.openxmlformats.org/officeDocument/2006/relationships/image" Target="media/image67.jpeg"/><Relationship Id="rId130" Type="http://schemas.openxmlformats.org/officeDocument/2006/relationships/image" Target="media/image72.jpeg"/><Relationship Id="rId131" Type="http://schemas.openxmlformats.org/officeDocument/2006/relationships/image" Target="media/image72.jpeg"/><Relationship Id="rId132" Type="http://schemas.openxmlformats.org/officeDocument/2006/relationships/image" Target="media/image73.jpeg"/><Relationship Id="rId133" Type="http://schemas.openxmlformats.org/officeDocument/2006/relationships/image" Target="media/image70.jpeg"/><Relationship Id="rId134" Type="http://schemas.openxmlformats.org/officeDocument/2006/relationships/image" Target="media/image70.jpeg"/><Relationship Id="rId135" Type="http://schemas.openxmlformats.org/officeDocument/2006/relationships/image" Target="media/image70.jpeg"/><Relationship Id="rId136" Type="http://schemas.openxmlformats.org/officeDocument/2006/relationships/image" Target="media/image69.jpeg"/><Relationship Id="rId137" Type="http://schemas.openxmlformats.org/officeDocument/2006/relationships/image" Target="media/image69.jpeg"/><Relationship Id="rId138" Type="http://schemas.openxmlformats.org/officeDocument/2006/relationships/image" Target="media/image69.jpeg"/><Relationship Id="rId139" Type="http://schemas.openxmlformats.org/officeDocument/2006/relationships/image" Target="media/image70.jpeg"/><Relationship Id="rId140" Type="http://schemas.openxmlformats.org/officeDocument/2006/relationships/image" Target="media/image74.jpeg"/><Relationship Id="rId141" Type="http://schemas.openxmlformats.org/officeDocument/2006/relationships/image" Target="media/image72.jpeg"/><Relationship Id="rId142" Type="http://schemas.openxmlformats.org/officeDocument/2006/relationships/image" Target="media/image72.jpeg"/><Relationship Id="rId143" Type="http://schemas.openxmlformats.org/officeDocument/2006/relationships/image" Target="media/image72.jpeg"/><Relationship Id="rId144" Type="http://schemas.openxmlformats.org/officeDocument/2006/relationships/image" Target="media/image72.jpeg"/><Relationship Id="rId145" Type="http://schemas.openxmlformats.org/officeDocument/2006/relationships/image" Target="media/image72.jpeg"/><Relationship Id="rId146" Type="http://schemas.openxmlformats.org/officeDocument/2006/relationships/image" Target="media/image72.jpeg"/><Relationship Id="rId147" Type="http://schemas.openxmlformats.org/officeDocument/2006/relationships/image" Target="media/image72.jpeg"/><Relationship Id="rId148" Type="http://schemas.openxmlformats.org/officeDocument/2006/relationships/image" Target="media/image75.jpeg"/><Relationship Id="rId149" Type="http://schemas.openxmlformats.org/officeDocument/2006/relationships/image" Target="media/image69.jpeg"/><Relationship Id="rId150" Type="http://schemas.openxmlformats.org/officeDocument/2006/relationships/image" Target="media/image69.jpeg"/><Relationship Id="rId151" Type="http://schemas.openxmlformats.org/officeDocument/2006/relationships/image" Target="media/image69.jpeg"/><Relationship Id="rId152" Type="http://schemas.openxmlformats.org/officeDocument/2006/relationships/image" Target="media/image69.jpeg"/><Relationship Id="rId153" Type="http://schemas.openxmlformats.org/officeDocument/2006/relationships/image" Target="media/image69.jpeg"/><Relationship Id="rId154" Type="http://schemas.openxmlformats.org/officeDocument/2006/relationships/image" Target="media/image69.jpeg"/><Relationship Id="rId155" Type="http://schemas.openxmlformats.org/officeDocument/2006/relationships/image" Target="media/image69.jpeg"/><Relationship Id="rId156" Type="http://schemas.openxmlformats.org/officeDocument/2006/relationships/image" Target="media/image76.jpeg"/><Relationship Id="rId157" Type="http://schemas.openxmlformats.org/officeDocument/2006/relationships/image" Target="media/image72.jpeg"/><Relationship Id="rId158" Type="http://schemas.openxmlformats.org/officeDocument/2006/relationships/image" Target="media/image67.jpeg"/><Relationship Id="rId159" Type="http://schemas.openxmlformats.org/officeDocument/2006/relationships/image" Target="media/image67.jpeg"/><Relationship Id="rId160" Type="http://schemas.openxmlformats.org/officeDocument/2006/relationships/image" Target="media/image67.jpeg"/><Relationship Id="rId161" Type="http://schemas.openxmlformats.org/officeDocument/2006/relationships/image" Target="media/image67.jpeg"/><Relationship Id="rId162" Type="http://schemas.openxmlformats.org/officeDocument/2006/relationships/image" Target="media/image72.jpeg"/><Relationship Id="rId163" Type="http://schemas.openxmlformats.org/officeDocument/2006/relationships/image" Target="media/image77.jpeg"/><Relationship Id="rId164" Type="http://schemas.openxmlformats.org/officeDocument/2006/relationships/image" Target="media/image69.jpeg"/><Relationship Id="rId165" Type="http://schemas.openxmlformats.org/officeDocument/2006/relationships/image" Target="media/image70.jpeg"/><Relationship Id="rId166" Type="http://schemas.openxmlformats.org/officeDocument/2006/relationships/image" Target="media/image69.jpeg"/><Relationship Id="rId167" Type="http://schemas.openxmlformats.org/officeDocument/2006/relationships/image" Target="media/image69.jpeg"/><Relationship Id="rId168" Type="http://schemas.openxmlformats.org/officeDocument/2006/relationships/image" Target="media/image78.jpeg"/><Relationship Id="rId169" Type="http://schemas.openxmlformats.org/officeDocument/2006/relationships/image" Target="media/image67.jpeg"/><Relationship Id="rId170" Type="http://schemas.openxmlformats.org/officeDocument/2006/relationships/image" Target="media/image72.jpeg"/><Relationship Id="rId171" Type="http://schemas.openxmlformats.org/officeDocument/2006/relationships/image" Target="media/image67.jpeg"/><Relationship Id="rId172" Type="http://schemas.openxmlformats.org/officeDocument/2006/relationships/image" Target="media/image72.jpeg"/><Relationship Id="rId173" Type="http://schemas.openxmlformats.org/officeDocument/2006/relationships/image" Target="media/image72.jpeg"/><Relationship Id="rId174" Type="http://schemas.openxmlformats.org/officeDocument/2006/relationships/image" Target="media/image67.jpeg"/><Relationship Id="rId175" Type="http://schemas.openxmlformats.org/officeDocument/2006/relationships/image" Target="media/image72.jpeg"/><Relationship Id="rId176" Type="http://schemas.openxmlformats.org/officeDocument/2006/relationships/image" Target="media/image79.jpeg"/><Relationship Id="rId177" Type="http://schemas.openxmlformats.org/officeDocument/2006/relationships/image" Target="media/image70.jpeg"/><Relationship Id="rId178" Type="http://schemas.openxmlformats.org/officeDocument/2006/relationships/image" Target="media/image70.jpeg"/><Relationship Id="rId179" Type="http://schemas.openxmlformats.org/officeDocument/2006/relationships/image" Target="media/image70.jpeg"/><Relationship Id="rId180" Type="http://schemas.openxmlformats.org/officeDocument/2006/relationships/image" Target="media/image70.jpeg"/><Relationship Id="rId181" Type="http://schemas.openxmlformats.org/officeDocument/2006/relationships/image" Target="media/image70.jpeg"/><Relationship Id="rId182" Type="http://schemas.openxmlformats.org/officeDocument/2006/relationships/image" Target="media/image70.jpeg"/><Relationship Id="rId183" Type="http://schemas.openxmlformats.org/officeDocument/2006/relationships/image" Target="media/image70.jpeg"/><Relationship Id="rId184" Type="http://schemas.openxmlformats.org/officeDocument/2006/relationships/image" Target="media/image72.jpeg"/><Relationship Id="rId185" Type="http://schemas.openxmlformats.org/officeDocument/2006/relationships/image" Target="media/image67.jpeg"/><Relationship Id="rId186" Type="http://schemas.openxmlformats.org/officeDocument/2006/relationships/image" Target="media/image12.jpeg"/><Relationship Id="rId187" Type="http://schemas.openxmlformats.org/officeDocument/2006/relationships/image" Target="media/image80.jpeg"/><Relationship Id="rId188" Type="http://schemas.openxmlformats.org/officeDocument/2006/relationships/image" Target="media/image81.jpeg"/><Relationship Id="rId189" Type="http://schemas.openxmlformats.org/officeDocument/2006/relationships/image" Target="media/image82.jpeg"/><Relationship Id="rId190" Type="http://schemas.openxmlformats.org/officeDocument/2006/relationships/image" Target="media/image12.jpeg"/><Relationship Id="rId191" Type="http://schemas.openxmlformats.org/officeDocument/2006/relationships/image" Target="media/image83.jpeg"/><Relationship Id="rId192" Type="http://schemas.openxmlformats.org/officeDocument/2006/relationships/image" Target="media/image81.jpeg"/><Relationship Id="rId193" Type="http://schemas.openxmlformats.org/officeDocument/2006/relationships/image" Target="media/image84.jpeg"/><Relationship Id="rId194" Type="http://schemas.openxmlformats.org/officeDocument/2006/relationships/image" Target="media/image12.jpeg"/><Relationship Id="rId195" Type="http://schemas.openxmlformats.org/officeDocument/2006/relationships/image" Target="media/image85.jpeg"/><Relationship Id="rId196" Type="http://schemas.openxmlformats.org/officeDocument/2006/relationships/image" Target="media/image81.jpeg"/><Relationship Id="rId197" Type="http://schemas.openxmlformats.org/officeDocument/2006/relationships/image" Target="media/image86.jpeg"/><Relationship Id="rId198" Type="http://schemas.openxmlformats.org/officeDocument/2006/relationships/image" Target="media/image12.jpeg"/><Relationship Id="rId199" Type="http://schemas.openxmlformats.org/officeDocument/2006/relationships/image" Target="media/image87.jpeg"/><Relationship Id="rId200" Type="http://schemas.openxmlformats.org/officeDocument/2006/relationships/image" Target="media/image12.jpeg"/><Relationship Id="rId201" Type="http://schemas.openxmlformats.org/officeDocument/2006/relationships/image" Target="media/image12.jpeg"/><Relationship Id="rId202" Type="http://schemas.openxmlformats.org/officeDocument/2006/relationships/image" Target="media/image12.jpeg"/><Relationship Id="rId203" Type="http://schemas.openxmlformats.org/officeDocument/2006/relationships/image" Target="media/image12.jpeg"/><Relationship Id="rId204" Type="http://schemas.openxmlformats.org/officeDocument/2006/relationships/image" Target="media/image12.jpeg"/><Relationship Id="rId205" Type="http://schemas.openxmlformats.org/officeDocument/2006/relationships/image" Target="media/image88.jpeg"/><Relationship Id="rId206" Type="http://schemas.openxmlformats.org/officeDocument/2006/relationships/image" Target="media/image12.jpeg"/><Relationship Id="rId207" Type="http://schemas.openxmlformats.org/officeDocument/2006/relationships/image" Target="media/image89.jpeg"/><Relationship Id="rId208" Type="http://schemas.openxmlformats.org/officeDocument/2006/relationships/image" Target="media/image90.jpeg"/><Relationship Id="rId209" Type="http://schemas.openxmlformats.org/officeDocument/2006/relationships/image" Target="media/image12.jpeg"/><Relationship Id="rId210" Type="http://schemas.openxmlformats.org/officeDocument/2006/relationships/image" Target="media/image12.jpeg"/><Relationship Id="rId211" Type="http://schemas.openxmlformats.org/officeDocument/2006/relationships/image" Target="media/image12.jpeg"/><Relationship Id="rId212" Type="http://schemas.openxmlformats.org/officeDocument/2006/relationships/image" Target="media/image12.jpeg"/><Relationship Id="rId213" Type="http://schemas.openxmlformats.org/officeDocument/2006/relationships/image" Target="media/image12.jpeg"/><Relationship Id="rId214" Type="http://schemas.openxmlformats.org/officeDocument/2006/relationships/image" Target="media/image12.jpeg"/><Relationship Id="rId215" Type="http://schemas.openxmlformats.org/officeDocument/2006/relationships/image" Target="media/image12.jpeg"/><Relationship Id="rId216" Type="http://schemas.openxmlformats.org/officeDocument/2006/relationships/image" Target="media/image32.jpeg"/><Relationship Id="rId217" Type="http://schemas.openxmlformats.org/officeDocument/2006/relationships/image" Target="media/image91.jpeg"/><Relationship Id="rId218" Type="http://schemas.openxmlformats.org/officeDocument/2006/relationships/image" Target="media/image92.jpeg"/><Relationship Id="rId219" Type="http://schemas.openxmlformats.org/officeDocument/2006/relationships/image" Target="media/image93.jpeg"/><Relationship Id="rId220" Type="http://schemas.openxmlformats.org/officeDocument/2006/relationships/image" Target="media/image94.jpeg"/><Relationship Id="rId221" Type="http://schemas.openxmlformats.org/officeDocument/2006/relationships/image" Target="media/image95.jpeg"/><Relationship Id="rId222" Type="http://schemas.openxmlformats.org/officeDocument/2006/relationships/image" Target="media/image96.jpeg"/><Relationship Id="rId223" Type="http://schemas.openxmlformats.org/officeDocument/2006/relationships/image" Target="media/image12.jpeg"/><Relationship Id="rId224" Type="http://schemas.openxmlformats.org/officeDocument/2006/relationships/image" Target="media/image12.jpeg"/><Relationship Id="rId225" Type="http://schemas.openxmlformats.org/officeDocument/2006/relationships/image" Target="media/image12.jpeg"/><Relationship Id="rId226" Type="http://schemas.openxmlformats.org/officeDocument/2006/relationships/image" Target="media/image54.jpeg"/><Relationship Id="rId227" Type="http://schemas.openxmlformats.org/officeDocument/2006/relationships/image" Target="media/image12.jpeg"/><Relationship Id="rId228" Type="http://schemas.openxmlformats.org/officeDocument/2006/relationships/image" Target="media/image12.jpeg"/><Relationship Id="rId229" Type="http://schemas.openxmlformats.org/officeDocument/2006/relationships/image" Target="media/image12.jpeg"/><Relationship Id="rId230" Type="http://schemas.openxmlformats.org/officeDocument/2006/relationships/image" Target="media/image41.jpeg"/><Relationship Id="rId231" Type="http://schemas.openxmlformats.org/officeDocument/2006/relationships/image" Target="media/image42.jpeg"/><Relationship Id="rId232" Type="http://schemas.openxmlformats.org/officeDocument/2006/relationships/image" Target="media/image43.jpeg"/><Relationship Id="rId233" Type="http://schemas.openxmlformats.org/officeDocument/2006/relationships/image" Target="media/image44.jpeg"/><Relationship Id="rId234" Type="http://schemas.openxmlformats.org/officeDocument/2006/relationships/image" Target="media/image12.jpeg"/><Relationship Id="rId235" Type="http://schemas.openxmlformats.org/officeDocument/2006/relationships/image" Target="media/image97.jpeg"/><Relationship Id="rId236" Type="http://schemas.openxmlformats.org/officeDocument/2006/relationships/image" Target="media/image46.jpeg"/><Relationship Id="rId237" Type="http://schemas.openxmlformats.org/officeDocument/2006/relationships/image" Target="media/image47.jpeg"/><Relationship Id="rId238" Type="http://schemas.openxmlformats.org/officeDocument/2006/relationships/image" Target="media/image97.jpeg"/><Relationship Id="rId239" Type="http://schemas.openxmlformats.org/officeDocument/2006/relationships/image" Target="media/image46.jpeg"/><Relationship Id="rId240" Type="http://schemas.openxmlformats.org/officeDocument/2006/relationships/image" Target="media/image48.jpeg"/><Relationship Id="rId241" Type="http://schemas.openxmlformats.org/officeDocument/2006/relationships/image" Target="media/image47.jpeg"/><Relationship Id="rId242" Type="http://schemas.openxmlformats.org/officeDocument/2006/relationships/image" Target="media/image49.jpeg"/><Relationship Id="rId243" Type="http://schemas.openxmlformats.org/officeDocument/2006/relationships/image" Target="media/image46.jpeg"/><Relationship Id="rId244" Type="http://schemas.openxmlformats.org/officeDocument/2006/relationships/image" Target="media/image50.jpeg"/><Relationship Id="rId245" Type="http://schemas.openxmlformats.org/officeDocument/2006/relationships/image" Target="media/image47.jpeg"/><Relationship Id="rId246" Type="http://schemas.openxmlformats.org/officeDocument/2006/relationships/image" Target="media/image49.jpeg"/><Relationship Id="rId247" Type="http://schemas.openxmlformats.org/officeDocument/2006/relationships/image" Target="media/image46.jpeg"/><Relationship Id="rId248" Type="http://schemas.openxmlformats.org/officeDocument/2006/relationships/image" Target="media/image46.jpeg"/><Relationship Id="rId249" Type="http://schemas.openxmlformats.org/officeDocument/2006/relationships/image" Target="media/image47.jpeg"/><Relationship Id="rId250" Type="http://schemas.openxmlformats.org/officeDocument/2006/relationships/image" Target="media/image46.jpeg"/><Relationship Id="rId251" Type="http://schemas.openxmlformats.org/officeDocument/2006/relationships/image" Target="media/image47.jpeg"/><Relationship Id="rId252" Type="http://schemas.openxmlformats.org/officeDocument/2006/relationships/image" Target="media/image46.jpeg"/><Relationship Id="rId253" Type="http://schemas.openxmlformats.org/officeDocument/2006/relationships/image" Target="media/image12.jpeg"/><Relationship Id="rId254" Type="http://schemas.openxmlformats.org/officeDocument/2006/relationships/image" Target="media/image51.jpeg"/><Relationship Id="rId255" Type="http://schemas.openxmlformats.org/officeDocument/2006/relationships/image" Target="media/image98.jpeg"/><Relationship Id="rId256" Type="http://schemas.openxmlformats.org/officeDocument/2006/relationships/image" Target="media/image99.jpeg"/><Relationship Id="rId257" Type="http://schemas.openxmlformats.org/officeDocument/2006/relationships/image" Target="media/image100.jpeg"/><Relationship Id="rId258" Type="http://schemas.openxmlformats.org/officeDocument/2006/relationships/image" Target="media/image101.jpeg"/><Relationship Id="rId259" Type="http://schemas.openxmlformats.org/officeDocument/2006/relationships/image" Target="media/image12.jpeg"/><Relationship Id="rId260" Type="http://schemas.openxmlformats.org/officeDocument/2006/relationships/image" Target="media/image102.jpeg"/><Relationship Id="rId261" Type="http://schemas.openxmlformats.org/officeDocument/2006/relationships/image" Target="media/image12.jpeg"/><Relationship Id="rId262" Type="http://schemas.openxmlformats.org/officeDocument/2006/relationships/image" Target="media/image12.jpeg"/><Relationship Id="rId263" Type="http://schemas.openxmlformats.org/officeDocument/2006/relationships/image" Target="media/image52.jpeg"/><Relationship Id="rId264" Type="http://schemas.openxmlformats.org/officeDocument/2006/relationships/image" Target="media/image53.jpeg"/><Relationship Id="rId265" Type="http://schemas.openxmlformats.org/officeDocument/2006/relationships/image" Target="media/image52.jpeg"/><Relationship Id="rId266" Type="http://schemas.openxmlformats.org/officeDocument/2006/relationships/image" Target="media/image53.jpeg"/><Relationship Id="rId267" Type="http://schemas.openxmlformats.org/officeDocument/2006/relationships/image" Target="media/image52.jpeg"/><Relationship Id="rId268" Type="http://schemas.openxmlformats.org/officeDocument/2006/relationships/image" Target="media/image53.jpeg"/><Relationship Id="rId269" Type="http://schemas.openxmlformats.org/officeDocument/2006/relationships/image" Target="media/image52.jpeg"/><Relationship Id="rId270" Type="http://schemas.openxmlformats.org/officeDocument/2006/relationships/image" Target="media/image53.jpeg"/><Relationship Id="rId271" Type="http://schemas.openxmlformats.org/officeDocument/2006/relationships/image" Target="media/image52.jpeg"/><Relationship Id="rId272" Type="http://schemas.openxmlformats.org/officeDocument/2006/relationships/image" Target="media/image53.jpeg"/><Relationship Id="rId273" Type="http://schemas.openxmlformats.org/officeDocument/2006/relationships/image" Target="media/image52.jpeg"/><Relationship Id="rId274" Type="http://schemas.openxmlformats.org/officeDocument/2006/relationships/image" Target="media/image53.jpeg"/><Relationship Id="rId275" Type="http://schemas.openxmlformats.org/officeDocument/2006/relationships/image" Target="media/image52.jpeg"/><Relationship Id="rId276" Type="http://schemas.openxmlformats.org/officeDocument/2006/relationships/image" Target="media/image53.jpeg"/><Relationship Id="rId277" Type="http://schemas.openxmlformats.org/officeDocument/2006/relationships/image" Target="media/image52.jpeg"/><Relationship Id="rId278" Type="http://schemas.openxmlformats.org/officeDocument/2006/relationships/image" Target="media/image103.jpeg"/><Relationship Id="rId279" Type="http://schemas.openxmlformats.org/officeDocument/2006/relationships/image" Target="media/image12.jpeg"/><Relationship Id="rId280" Type="http://schemas.openxmlformats.org/officeDocument/2006/relationships/image" Target="media/image12.jpeg"/><Relationship Id="rId281" Type="http://schemas.openxmlformats.org/officeDocument/2006/relationships/image" Target="media/image104.jpeg"/><Relationship Id="rId282" Type="http://schemas.openxmlformats.org/officeDocument/2006/relationships/image" Target="media/image12.jpeg"/><Relationship Id="rId283" Type="http://schemas.openxmlformats.org/officeDocument/2006/relationships/image" Target="media/image105.jpeg"/><Relationship Id="rId284" Type="http://schemas.openxmlformats.org/officeDocument/2006/relationships/image" Target="media/image105.jpeg"/><Relationship Id="rId285" Type="http://schemas.openxmlformats.org/officeDocument/2006/relationships/image" Target="media/image105.jpeg"/><Relationship Id="rId286" Type="http://schemas.openxmlformats.org/officeDocument/2006/relationships/image" Target="media/image105.jpeg"/><Relationship Id="rId287" Type="http://schemas.openxmlformats.org/officeDocument/2006/relationships/image" Target="media/image105.jpeg"/><Relationship Id="rId288" Type="http://schemas.openxmlformats.org/officeDocument/2006/relationships/image" Target="media/image105.jpeg"/><Relationship Id="rId289" Type="http://schemas.openxmlformats.org/officeDocument/2006/relationships/image" Target="media/image12.jpeg"/><Relationship Id="rId290" Type="http://schemas.openxmlformats.org/officeDocument/2006/relationships/image" Target="media/image106.jpeg"/><Relationship Id="rId291" Type="http://schemas.openxmlformats.org/officeDocument/2006/relationships/image" Target="media/image106.jpeg"/><Relationship Id="rId292" Type="http://schemas.openxmlformats.org/officeDocument/2006/relationships/image" Target="media/image12.jpeg"/><Relationship Id="rId293" Type="http://schemas.openxmlformats.org/officeDocument/2006/relationships/image" Target="media/image107.jpeg"/><Relationship Id="rId294" Type="http://schemas.openxmlformats.org/officeDocument/2006/relationships/image" Target="media/image108.jpeg"/><Relationship Id="rId295" Type="http://schemas.openxmlformats.org/officeDocument/2006/relationships/image" Target="media/image12.jpeg"/><Relationship Id="rId296" Type="http://schemas.openxmlformats.org/officeDocument/2006/relationships/image" Target="media/image109.jpeg"/><Relationship Id="rId297" Type="http://schemas.openxmlformats.org/officeDocument/2006/relationships/image" Target="media/image107.jpeg"/><Relationship Id="rId298" Type="http://schemas.openxmlformats.org/officeDocument/2006/relationships/image" Target="media/image108.jpeg"/><Relationship Id="rId299" Type="http://schemas.openxmlformats.org/officeDocument/2006/relationships/image" Target="media/image12.jpeg"/><Relationship Id="rId300" Type="http://schemas.openxmlformats.org/officeDocument/2006/relationships/image" Target="media/image110.jpeg"/><Relationship Id="rId301" Type="http://schemas.openxmlformats.org/officeDocument/2006/relationships/image" Target="media/image12.jpeg"/><Relationship Id="rId302" Type="http://schemas.openxmlformats.org/officeDocument/2006/relationships/image" Target="media/image111.jpeg"/><Relationship Id="rId303" Type="http://schemas.openxmlformats.org/officeDocument/2006/relationships/image" Target="media/image12.jpeg"/><Relationship Id="rId304" Type="http://schemas.openxmlformats.org/officeDocument/2006/relationships/image" Target="media/image112.jpeg"/><Relationship Id="rId305" Type="http://schemas.openxmlformats.org/officeDocument/2006/relationships/image" Target="media/image12.jpeg"/><Relationship Id="rId306" Type="http://schemas.openxmlformats.org/officeDocument/2006/relationships/image" Target="media/image113.jpeg"/><Relationship Id="rId307" Type="http://schemas.openxmlformats.org/officeDocument/2006/relationships/image" Target="media/image114.jpeg"/><Relationship Id="rId308" Type="http://schemas.openxmlformats.org/officeDocument/2006/relationships/image" Target="media/image12.jpeg"/><Relationship Id="rId309" Type="http://schemas.openxmlformats.org/officeDocument/2006/relationships/image" Target="media/image115.jpeg"/><Relationship Id="rId310" Type="http://schemas.openxmlformats.org/officeDocument/2006/relationships/image" Target="media/image115.jpeg"/><Relationship Id="rId311" Type="http://schemas.openxmlformats.org/officeDocument/2006/relationships/image" Target="media/image12.jpeg"/><Relationship Id="rId312" Type="http://schemas.openxmlformats.org/officeDocument/2006/relationships/image" Target="media/image109.jpeg"/><Relationship Id="rId313" Type="http://schemas.openxmlformats.org/officeDocument/2006/relationships/image" Target="media/image116.jpeg"/><Relationship Id="rId314" Type="http://schemas.openxmlformats.org/officeDocument/2006/relationships/image" Target="media/image108.jpeg"/><Relationship Id="rId315" Type="http://schemas.openxmlformats.org/officeDocument/2006/relationships/image" Target="media/image117.jpeg"/><Relationship Id="rId316" Type="http://schemas.openxmlformats.org/officeDocument/2006/relationships/image" Target="media/image12.jpeg"/><Relationship Id="rId317" Type="http://schemas.openxmlformats.org/officeDocument/2006/relationships/image" Target="media/image12.jpeg"/><Relationship Id="rId318" Type="http://schemas.openxmlformats.org/officeDocument/2006/relationships/image" Target="media/image12.jpeg"/><Relationship Id="rId319" Type="http://schemas.openxmlformats.org/officeDocument/2006/relationships/image" Target="media/image118.jpeg"/><Relationship Id="rId320" Type="http://schemas.openxmlformats.org/officeDocument/2006/relationships/image" Target="media/image118.jpeg"/><Relationship Id="rId321" Type="http://schemas.openxmlformats.org/officeDocument/2006/relationships/image" Target="media/image12.jpeg"/><Relationship Id="rId322" Type="http://schemas.openxmlformats.org/officeDocument/2006/relationships/image" Target="media/image12.jpeg"/><Relationship Id="rId323" Type="http://schemas.openxmlformats.org/officeDocument/2006/relationships/image" Target="media/image12.jpeg"/><Relationship Id="rId324" Type="http://schemas.openxmlformats.org/officeDocument/2006/relationships/image" Target="media/image12.jpeg"/><Relationship Id="rId325" Type="http://schemas.openxmlformats.org/officeDocument/2006/relationships/image" Target="media/image12.jpeg"/><Relationship Id="rId326" Type="http://schemas.openxmlformats.org/officeDocument/2006/relationships/image" Target="media/image12.jpeg"/><Relationship Id="rId327" Type="http://schemas.openxmlformats.org/officeDocument/2006/relationships/image" Target="media/image12.jpeg"/><Relationship Id="rId328" Type="http://schemas.openxmlformats.org/officeDocument/2006/relationships/image" Target="media/image12.jpeg"/><Relationship Id="rId329" Type="http://schemas.openxmlformats.org/officeDocument/2006/relationships/image" Target="media/image12.jpeg"/><Relationship Id="rId330" Type="http://schemas.openxmlformats.org/officeDocument/2006/relationships/image" Target="media/image12.jpeg"/><Relationship Id="rId331" Type="http://schemas.openxmlformats.org/officeDocument/2006/relationships/image" Target="media/image12.jpeg"/><Relationship Id="rId332" Type="http://schemas.openxmlformats.org/officeDocument/2006/relationships/image" Target="media/image12.jpeg"/><Relationship Id="rId333" Type="http://schemas.openxmlformats.org/officeDocument/2006/relationships/image" Target="media/image12.jpeg"/><Relationship Id="rId334" Type="http://schemas.openxmlformats.org/officeDocument/2006/relationships/image" Target="media/image12.jpeg"/><Relationship Id="rId335" Type="http://schemas.openxmlformats.org/officeDocument/2006/relationships/image" Target="media/image119.jpeg"/><Relationship Id="rId336" Type="http://schemas.openxmlformats.org/officeDocument/2006/relationships/image" Target="media/image119.jpeg"/><Relationship Id="rId337" Type="http://schemas.openxmlformats.org/officeDocument/2006/relationships/image" Target="media/image120.jpeg"/><Relationship Id="rId338" Type="http://schemas.openxmlformats.org/officeDocument/2006/relationships/image" Target="media/image120.jpeg"/><Relationship Id="rId339" Type="http://schemas.openxmlformats.org/officeDocument/2006/relationships/image" Target="media/image121.jpeg"/><Relationship Id="rId340" Type="http://schemas.openxmlformats.org/officeDocument/2006/relationships/image" Target="media/image121.jpeg"/><Relationship Id="rId341" Type="http://schemas.openxmlformats.org/officeDocument/2006/relationships/image" Target="media/image122.jpeg"/><Relationship Id="rId342" Type="http://schemas.openxmlformats.org/officeDocument/2006/relationships/image" Target="media/image122.jpeg"/><Relationship Id="rId343" Type="http://schemas.openxmlformats.org/officeDocument/2006/relationships/image" Target="media/image12.jpeg"/><Relationship Id="rId344" Type="http://schemas.openxmlformats.org/officeDocument/2006/relationships/image" Target="media/image12.jpeg"/><Relationship Id="rId345" Type="http://schemas.openxmlformats.org/officeDocument/2006/relationships/image" Target="media/image54.jpeg"/><Relationship Id="rId346" Type="http://schemas.openxmlformats.org/officeDocument/2006/relationships/image" Target="media/image12.jpeg"/><Relationship Id="rId347" Type="http://schemas.openxmlformats.org/officeDocument/2006/relationships/image" Target="media/image12.jpeg"/><Relationship Id="rId348" Type="http://schemas.openxmlformats.org/officeDocument/2006/relationships/image" Target="media/image12.jpeg"/><Relationship Id="rId349" Type="http://schemas.openxmlformats.org/officeDocument/2006/relationships/image" Target="media/image12.jpeg"/><Relationship Id="rId350" Type="http://schemas.openxmlformats.org/officeDocument/2006/relationships/image" Target="media/image12.jpeg"/><Relationship Id="rId351" Type="http://schemas.openxmlformats.org/officeDocument/2006/relationships/image" Target="media/image12.jpeg"/><Relationship Id="rId352" Type="http://schemas.openxmlformats.org/officeDocument/2006/relationships/image" Target="media/image12.jpeg"/><Relationship Id="rId353" Type="http://schemas.openxmlformats.org/officeDocument/2006/relationships/image" Target="media/image12.jpeg"/><Relationship Id="rId354" Type="http://schemas.openxmlformats.org/officeDocument/2006/relationships/image" Target="media/image12.jpeg"/><Relationship Id="rId355" Type="http://schemas.openxmlformats.org/officeDocument/2006/relationships/image" Target="media/image12.jpeg"/><Relationship Id="rId356" Type="http://schemas.openxmlformats.org/officeDocument/2006/relationships/image" Target="media/image12.jpeg"/><Relationship Id="rId357" Type="http://schemas.openxmlformats.org/officeDocument/2006/relationships/image" Target="media/image123.jpeg"/><Relationship Id="rId358" Type="http://schemas.openxmlformats.org/officeDocument/2006/relationships/image" Target="media/image124.jpeg"/><Relationship Id="rId359" Type="http://schemas.openxmlformats.org/officeDocument/2006/relationships/fontTable" Target="fontTable.xml"/><Relationship Id="rId3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35089</Words>
  <Characters>199109</Characters>
  <CharactersWithSpaces>238495</CharactersWithSpaces>
  <Paragraphs>8538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