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1175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Armes Joseph 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40"/>
        <w:spacing w:after="0" w:line="324" w:lineRule="auto"/>
        <w:rPr>
          <w:sz w:val="20"/>
          <w:szCs w:val="20"/>
          <w:color w:val="auto"/>
        </w:rPr>
      </w:pPr>
      <w:r>
        <w:rPr>
          <w:rFonts w:ascii="Times New Roman" w:cs="Times New Roman" w:eastAsia="Times New Roman" w:hAnsi="Times New Roman"/>
          <w:sz w:val="17"/>
          <w:szCs w:val="17"/>
          <w:color w:val="0000FF"/>
        </w:rPr>
        <w:t>5420 LYNDON B JOHNSON FWY STE.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CSW INDUSTRIALS,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CSW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75240-1007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380"/>
              <w:spacing w:after="0" w:line="128"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0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279.5177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69,100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0000FF"/>
              </w:rPr>
              <w:t>3,219</w:t>
            </w:r>
          </w:p>
        </w:tc>
        <w:tc>
          <w:tcPr>
            <w:tcW w:w="26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ESOP</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gridSpan w:val="5"/>
          </w:tcPr>
          <w:p>
            <w:pPr>
              <w:spacing w:after="0"/>
              <w:rPr>
                <w:sz w:val="8"/>
                <w:szCs w:val="8"/>
                <w:color w:val="auto"/>
              </w:rPr>
            </w:pPr>
          </w:p>
        </w:tc>
        <w:tc>
          <w:tcPr>
            <w:tcW w:w="3520" w:type="dxa"/>
            <w:vAlign w:val="bottom"/>
            <w:tcBorders>
              <w:bottom w:val="single" w:sz="8" w:color="2C2C2C"/>
            </w:tcBorders>
            <w:gridSpan w:val="8"/>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1"/>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left="42"/>
              <w:spacing w:after="0" w:line="129"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(3)</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9,836</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9,836</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8,004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8,004</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8,236</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8,236</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(6)</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9,186</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9,186</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ind w:left="42"/>
              <w:spacing w:after="0"/>
              <w:rPr>
                <w:sz w:val="20"/>
                <w:szCs w:val="20"/>
                <w:color w:val="auto"/>
              </w:rPr>
            </w:pPr>
            <w:r>
              <w:rPr>
                <w:rFonts w:ascii="Times New Roman" w:cs="Times New Roman" w:eastAsia="Times New Roman" w:hAnsi="Times New Roman"/>
                <w:sz w:val="11"/>
                <w:szCs w:val="11"/>
                <w:color w:val="008000"/>
                <w:w w:val="93"/>
              </w:rPr>
              <w:t>(7)</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8"/>
              </w:rPr>
              <w:t>19,685</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rPr>
              <w:t>19,685</w:t>
            </w:r>
          </w:p>
        </w:tc>
        <w:tc>
          <w:tcPr>
            <w:tcW w:w="26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-3049905</wp:posOffset>
            </wp:positionV>
            <wp:extent cx="29210" cy="3054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549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was effected pursuant to a 10b5-1 trading plan established by the reporting person on August 12, 2025.</w:t>
      </w:r>
    </w:p>
    <w:p>
      <w:pPr>
        <w:spacing w:after="0" w:line="43" w:lineRule="exact"/>
        <w:rPr>
          <w:rFonts w:ascii="Times New Roman" w:cs="Times New Roman" w:eastAsia="Times New Roman" w:hAnsi="Times New Roman"/>
          <w:sz w:val="13"/>
          <w:szCs w:val="13"/>
          <w:color w:val="008000"/>
        </w:rPr>
      </w:pPr>
    </w:p>
    <w:p>
      <w:pPr>
        <w:ind w:left="40" w:right="38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sale price. These shares were sold in multiple transactions at prices ranging from $278.14 to $280.115,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250%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200% during a three-year performance cycle beginning on April 1, 2025, and ending on March 31, 2028,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200% during a three-year performance cycle beginning on April 1, 2024,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rFonts w:ascii="Times New Roman" w:cs="Times New Roman" w:eastAsia="Times New Roman" w:hAnsi="Times New Roman"/>
          <w:sz w:val="13"/>
          <w:szCs w:val="13"/>
          <w:color w:val="008000"/>
        </w:rPr>
      </w:pPr>
    </w:p>
    <w:p>
      <w:pPr>
        <w:jc w:val="both"/>
        <w:ind w:left="40" w:right="3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200%, during a performance cycle beginning April 1, 2021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at vesting. 40% of the restricted stock units vest no earlier than April 26, 2025 upon the successful recruitment and hiring of a successor Chief Executive Officer; the remaining 60% vest upon the successful first employment anniversary of a successor Chief Executive Officer.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Luke E. Alverson, Attorney-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Joseph B. Armes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03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3614" TargetMode="External"/><Relationship Id="rId14" Type="http://schemas.openxmlformats.org/officeDocument/2006/relationships/hyperlink" Target="http://www.sec.gov/cgi-bin/browse-edgar?action=getcompany&amp;CIK=0001624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2026-06-16T15:22:13Z</dcterms:created>
  <dcterms:modified xsi:type="dcterms:W3CDTF">2026-06-16T15:22:13Z</dcterms:modified>
</cp:coreProperties>
</file>