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900.xml.htm"/>
      <w:bookmarkStart w:id="1" w:name="kswkform4_17912309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Armes Joseph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75240-1007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94"/>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5,095</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67,831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2,248</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292.38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granted to the reporting person pursuant to the issuer's 2024 Equity and Incentive Compensation Plan. The shares vest ratably over a three-year period on each annual anniversary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the issuer's common stock at vesting. The performance rights vest at a rate between 0% and 250%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right represents a contingent right to receive one share of the issuer's common stock at vesting. The performance rights vest at a rate between 0% and 200% during a three-year performance cycle beginning on April 1, 2025, and ending on March 31, 2028,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receive one share of the issuer's common stock at vesting. The performance rights vest at a rate between 0% and 200% during a three-year performance cycle beginning on April 1, 2024,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performance right represents a contingent right to receive one share of the issuer's common stock at vesting. The performance rights vest at a rate between 0% and 200%, during a performance cycle beginning April 1, 2021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restricted stock unit represents a contingent right to receive one share of the issuer's common stock at vesting. 40% of the restricted stock units vest no earlier than April 26, 2025 upon the successful recruitment and hiring of a successor Chief Executive Officer; the remaining 60% vest upon the successful first employment anniversary of a successor Chief Executive Officer.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Joseph B. Armes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614"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1087</Words>
  <Characters>5759</Characters>
  <CharactersWithSpaces>6720</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