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0682.xml.htm"/>
      <w:bookmarkStart w:id="1" w:name="kswkform4_179123068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UNDERWOOD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5420 LYNDON B. JOHNSON FWY., SUITE 500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CSW INDUSTRIALS,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GM Contractor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94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1,404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7,813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428</w:t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292.38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restricted common stock granted to the reporting person pursuant to the issuer's 2024 Equity and Incentive Compensation Plan. The shares vest ratably over a three-year period on each annual anniversary of the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Luke E. Alverson, Attorney-in-fact for Jeff Underwood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7190" TargetMode="External"/><Relationship Id="rId5" Type="http://schemas.openxmlformats.org/officeDocument/2006/relationships/hyperlink" Target="http://www.sec.gov/cgi-bin/browse-edgar?action=getcompany&amp;CIK=00016247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3372</Characters>
  <CharactersWithSpaces>3915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