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89180.xml.htm"/>
      <w:bookmarkStart w:id="1" w:name="kswkform4_17895891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Armes Joseph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75240-1007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289.584</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62,736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2188"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was effected pursuant to a 10b5-1 trading plan established by the reporting person on August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sale price. These shares were sold in multiple transactions at prices ranging from $288.145 to $290.35,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right represents a contingent right to receive one share of the issuer's common stock at vesting. The performance rights vest at a rate between 0% and 250%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right represents a contingent right to receive one share of the issuer's common stock at vesting. The performance rights vest at a rate between 0% and 200% during a three-year performance cycle beginning on April 1, 2025, and ending on March 31, 2028,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performance right represents a contingent right to receive one share of the issuer's common stock at vesting. The performance rights vest at a rate between 0% and 200% during a three-year performance cycle beginning on April 1, 2024,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performance right represents a contingent right to receive one share of the issuer's common stock at vesting. The performance rights vest at a rate between 0% and 200%, during a performance cycle beginning April 1, 2021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 at vesting. 40% of the restricted stock units vest no earlier than April 26, 2025 upon the successful recruitment and hiring of a successor Chief Executive Officer; the remaining 60% vest upon the successful first employment anniversary of a successor Chief Executive Officer.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Joseph B. Armes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13614"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1128</Words>
  <Characters>5982</Characters>
  <CharactersWithSpaces>6991</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