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26, 2026</w:t>
      </w: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CSW INDUSTRIALS,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605" w:right="339" w:bottom="1440" w:gutter="0" w:footer="0" w:header="0"/>
        </w:sectPr>
      </w:pPr>
    </w:p>
    <w:p>
      <w:pPr>
        <w:spacing w:after="0" w:line="336"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7"/>
          <w:szCs w:val="17"/>
          <w:b w:val="1"/>
          <w:bCs w:val="1"/>
          <w:color w:val="auto"/>
        </w:rPr>
        <w:t>001-37454</w:t>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47-2266942</w:t>
      </w:r>
    </w:p>
    <w:p>
      <w:pPr>
        <w:spacing w:after="0" w:line="26" w:lineRule="exact"/>
        <w:rPr>
          <w:sz w:val="24"/>
          <w:szCs w:val="24"/>
          <w:color w:val="auto"/>
        </w:rPr>
      </w:pPr>
    </w:p>
    <w:p>
      <w:pPr>
        <w:sectPr>
          <w:pgSz w:w="11900" w:h="16838" w:orient="portrait"/>
          <w:cols w:equalWidth="0" w:num="3">
            <w:col w:w="4600" w:space="720"/>
            <w:col w:w="2960" w:space="720"/>
            <w:col w:w="2240"/>
          </w:cols>
          <w:pgMar w:left="320" w:top="605"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80" w:space="720"/>
            <w:col w:w="2860" w:space="720"/>
            <w:col w:w="2360"/>
          </w:cols>
          <w:pgMar w:left="320" w:top="605" w:right="339" w:bottom="1440" w:gutter="0" w:footer="0" w:header="0"/>
          <w:type w:val="continuous"/>
        </w:sectPr>
      </w:pP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5420 Lyndon B. Johnson Freeway, Suite 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Dallas, Texas 75240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884-3777</w:t>
      </w:r>
    </w:p>
    <w:p>
      <w:pPr>
        <w:sectPr>
          <w:pgSz w:w="11900" w:h="16838" w:orient="portrait"/>
          <w:cols w:equalWidth="0" w:num="1">
            <w:col w:w="11240"/>
          </w:cols>
          <w:pgMar w:left="320" w:top="605" w:right="339" w:bottom="1440" w:gutter="0" w:footer="0" w:header="0"/>
          <w:type w:val="continuous"/>
        </w:sectPr>
      </w:pPr>
    </w:p>
    <w:p>
      <w:pPr>
        <w:spacing w:after="0" w:line="281"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2" w:lineRule="exact"/>
        <w:rPr>
          <w:sz w:val="24"/>
          <w:szCs w:val="24"/>
          <w:color w:val="auto"/>
        </w:rPr>
      </w:pPr>
    </w:p>
    <w:p>
      <w:pPr>
        <w:ind w:left="980" w:hanging="477"/>
        <w:spacing w:after="0"/>
        <w:tabs>
          <w:tab w:leader="none" w:pos="98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60" w:hanging="457"/>
        <w:spacing w:after="0"/>
        <w:tabs>
          <w:tab w:leader="none" w:pos="9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8" w:lineRule="exact"/>
        <w:rPr>
          <w:sz w:val="24"/>
          <w:szCs w:val="24"/>
          <w:color w:val="auto"/>
        </w:rPr>
      </w:pPr>
    </w:p>
    <w:tbl>
      <w:tblPr>
        <w:tblLayout w:type="fixed"/>
        <w:tblInd w:w="220" w:type="dxa"/>
        <w:tblCellMar>
          <w:top w:w="0" w:type="dxa"/>
          <w:left w:w="0" w:type="dxa"/>
          <w:bottom w:w="0" w:type="dxa"/>
          <w:right w:w="0" w:type="dxa"/>
        </w:tblCellMar>
      </w:tblPr>
      <w:tr>
        <w:trPr>
          <w:trHeight w:val="213"/>
        </w:trPr>
        <w:tc>
          <w:tcPr>
            <w:tcW w:w="42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Trading Symbol(s)</w:t>
            </w:r>
          </w:p>
        </w:tc>
        <w:tc>
          <w:tcPr>
            <w:tcW w:w="4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00" w:type="dxa"/>
            <w:vAlign w:val="bottom"/>
          </w:tcPr>
          <w:p>
            <w:pPr>
              <w:spacing w:after="0"/>
              <w:rPr>
                <w:sz w:val="17"/>
                <w:szCs w:val="17"/>
                <w:color w:val="auto"/>
              </w:rPr>
            </w:pPr>
          </w:p>
        </w:tc>
        <w:tc>
          <w:tcPr>
            <w:tcW w:w="2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CSW</w:t>
            </w:r>
          </w:p>
        </w:tc>
        <w:tc>
          <w:tcPr>
            <w:tcW w:w="220" w:type="dxa"/>
            <w:vAlign w:val="bottom"/>
          </w:tcPr>
          <w:p>
            <w:pPr>
              <w:spacing w:after="0"/>
              <w:rPr>
                <w:sz w:val="17"/>
                <w:szCs w:val="17"/>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11" w:lineRule="exact"/>
        <w:rPr>
          <w:sz w:val="24"/>
          <w:szCs w:val="24"/>
          <w:color w:val="auto"/>
        </w:rPr>
      </w:pPr>
    </w:p>
    <w:p>
      <w:pPr>
        <w:ind w:right="420" w:firstLine="45"/>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by Rule 405 of the Securities Act of 1933 (§230.405 of this chapter) or Rule 12b-2 of the Securities Exchange Act of 1934 (§240.12b-2 of this chapter).</w:t>
      </w:r>
    </w:p>
    <w:p>
      <w:pPr>
        <w:spacing w:after="0" w:line="148" w:lineRule="exact"/>
        <w:rPr>
          <w:sz w:val="24"/>
          <w:szCs w:val="24"/>
          <w:color w:val="auto"/>
        </w:rPr>
      </w:pPr>
    </w:p>
    <w:p>
      <w:pPr>
        <w:ind w:left="8940"/>
        <w:spacing w:after="0" w:line="20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938530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26, 2026, CSW Industrials, Inc., a Delaware corporation (the “Company”), issued a press release announcing its financial results for the fiscal fourth quarter ended March 31, 2026. A copy of the Company’s press release is furnished as Exhibit 99.1 to this Current Report on Form 8-K.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including Exhibit 99.1 attached hereto, is being furnished and shall not be deemed filed for purposes of Section 18 of the Securities Exchange Act of 1934 (the “Exchange Act”) or otherwise subject to the liabilities of that section, nor shall it be deemed incorporated by reference into any registration statement or other document filed pursuant to the Securities Act of 1933 or the Exchange Act, except as expressly set forth by specific reference in such filing.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Exhibit</w:t>
            </w:r>
          </w:p>
        </w:tc>
        <w:tc>
          <w:tcPr>
            <w:tcW w:w="20" w:type="dxa"/>
            <w:vAlign w:val="bottom"/>
          </w:tcPr>
          <w:p>
            <w:pPr>
              <w:spacing w:after="0"/>
              <w:rPr>
                <w:sz w:val="13"/>
                <w:szCs w:val="13"/>
                <w:color w:val="auto"/>
              </w:rPr>
            </w:pPr>
          </w:p>
        </w:tc>
        <w:tc>
          <w:tcPr>
            <w:tcW w:w="10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Exhibit Description</w:t>
            </w:r>
          </w:p>
        </w:tc>
        <w:tc>
          <w:tcPr>
            <w:tcW w:w="0" w:type="dxa"/>
            <w:vAlign w:val="bottom"/>
          </w:tcPr>
          <w:p>
            <w:pPr>
              <w:spacing w:after="0"/>
              <w:rPr>
                <w:sz w:val="1"/>
                <w:szCs w:val="1"/>
                <w:color w:val="auto"/>
              </w:rPr>
            </w:pPr>
          </w:p>
        </w:tc>
      </w:tr>
      <w:tr>
        <w:trPr>
          <w:trHeight w:val="193"/>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Number</w:t>
            </w:r>
          </w:p>
        </w:tc>
        <w:tc>
          <w:tcPr>
            <w:tcW w:w="20" w:type="dxa"/>
            <w:vAlign w:val="bottom"/>
          </w:tcPr>
          <w:p>
            <w:pPr>
              <w:spacing w:after="0"/>
              <w:rPr>
                <w:sz w:val="16"/>
                <w:szCs w:val="16"/>
                <w:color w:val="auto"/>
              </w:rPr>
            </w:pPr>
          </w:p>
        </w:tc>
        <w:tc>
          <w:tcPr>
            <w:tcW w:w="100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0" w:type="dxa"/>
            <w:vAlign w:val="bottom"/>
            <w:tcBorders>
              <w:top w:val="single" w:sz="8" w:color="auto"/>
            </w:tcBorders>
          </w:tcPr>
          <w:p>
            <w:pPr>
              <w:ind w:left="20"/>
              <w:spacing w:after="0" w:line="188" w:lineRule="exact"/>
              <w:rPr>
                <w:sz w:val="20"/>
                <w:szCs w:val="20"/>
                <w:color w:val="auto"/>
              </w:rPr>
            </w:pPr>
            <w:r>
              <w:rPr>
                <w:rFonts w:ascii="Times New Roman" w:cs="Times New Roman" w:eastAsia="Times New Roman" w:hAnsi="Times New Roman"/>
                <w:sz w:val="18"/>
                <w:szCs w:val="18"/>
                <w:color w:val="auto"/>
              </w:rPr>
              <w:t>99.1</w:t>
            </w:r>
          </w:p>
        </w:tc>
        <w:tc>
          <w:tcPr>
            <w:tcW w:w="3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20" w:type="dxa"/>
            <w:vAlign w:val="bottom"/>
            <w:tcBorders>
              <w:top w:val="single" w:sz="8" w:color="auto"/>
              <w:bottom w:val="single" w:sz="8" w:color="0000FF"/>
            </w:tcBorders>
          </w:tcPr>
          <w:p>
            <w:pPr>
              <w:spacing w:after="0" w:line="188" w:lineRule="exact"/>
              <w:rPr>
                <w:sz w:val="20"/>
                <w:szCs w:val="20"/>
                <w:color w:val="auto"/>
              </w:rPr>
            </w:pPr>
            <w:r>
              <w:rPr>
                <w:rFonts w:ascii="Times New Roman" w:cs="Times New Roman" w:eastAsia="Times New Roman" w:hAnsi="Times New Roman"/>
                <w:sz w:val="18"/>
                <w:szCs w:val="18"/>
                <w:color w:val="0000FF"/>
                <w:w w:val="99"/>
              </w:rPr>
              <w:t>Press release dated May 26, 2026</w:t>
            </w:r>
          </w:p>
        </w:tc>
        <w:tc>
          <w:tcPr>
            <w:tcW w:w="76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721"/>
        </w:trPr>
        <w:tc>
          <w:tcPr>
            <w:tcW w:w="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56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Dated: May 26, 2026</w:t>
            </w:r>
          </w:p>
        </w:tc>
        <w:tc>
          <w:tcPr>
            <w:tcW w:w="770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CSW INDUSTRIALS, INC.</w:t>
            </w:r>
          </w:p>
        </w:tc>
      </w:tr>
      <w:tr>
        <w:trPr>
          <w:trHeight w:val="499"/>
        </w:trPr>
        <w:tc>
          <w:tcPr>
            <w:tcW w:w="3520" w:type="dxa"/>
            <w:vAlign w:val="bottom"/>
          </w:tcPr>
          <w:p>
            <w:pPr>
              <w:spacing w:after="0"/>
              <w:rPr>
                <w:sz w:val="24"/>
                <w:szCs w:val="24"/>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Luke E. Alverson</w:t>
            </w:r>
          </w:p>
        </w:tc>
      </w:tr>
      <w:tr>
        <w:trPr>
          <w:trHeight w:val="259"/>
        </w:trPr>
        <w:tc>
          <w:tcPr>
            <w:tcW w:w="3520" w:type="dxa"/>
            <w:vAlign w:val="bottom"/>
          </w:tcPr>
          <w:p>
            <w:pPr>
              <w:spacing w:after="0"/>
              <w:rPr>
                <w:sz w:val="22"/>
                <w:szCs w:val="22"/>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Luke E. Alverson</w:t>
            </w:r>
          </w:p>
        </w:tc>
      </w:tr>
      <w:tr>
        <w:trPr>
          <w:trHeight w:val="234"/>
        </w:trPr>
        <w:tc>
          <w:tcPr>
            <w:tcW w:w="3520" w:type="dxa"/>
            <w:vAlign w:val="bottom"/>
          </w:tcPr>
          <w:p>
            <w:pPr>
              <w:spacing w:after="0"/>
              <w:rPr>
                <w:sz w:val="20"/>
                <w:szCs w:val="20"/>
                <w:color w:val="auto"/>
              </w:rPr>
            </w:pPr>
          </w:p>
        </w:tc>
        <w:tc>
          <w:tcPr>
            <w:tcW w:w="28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&amp; Secretary</w:t>
            </w:r>
          </w:p>
        </w:tc>
      </w:tr>
    </w:tbl>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87706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8770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Reports Robust Fiscal 2026 Fourth Quarter with</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Record Quarterly and Full Year Results; Contractor Solutions Segment Returns to Positive Organic Growth in Fourth</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Quarter</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DALLAS, May 26, 2026 (GLOBE NEWSWIRE) - CSW Industrials, Inc. (NYSE: CSW or the "Company") today reported results for the fiscal 2026 fourth quarter period ended March 31, 2026.</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Fiscal 2026 Fourth Quarter Highlights </w:t>
      </w:r>
      <w:r>
        <w:rPr>
          <w:rFonts w:ascii="Arial" w:cs="Arial" w:eastAsia="Arial" w:hAnsi="Arial"/>
          <w:sz w:val="20"/>
          <w:szCs w:val="20"/>
          <w:color w:val="auto"/>
        </w:rPr>
        <w:t>(comparisons to fiscal 2025 fourth quarter)</w:t>
      </w:r>
    </w:p>
    <w:p>
      <w:pPr>
        <w:spacing w:after="0" w:line="258" w:lineRule="exact"/>
        <w:rPr>
          <w:sz w:val="20"/>
          <w:szCs w:val="20"/>
          <w:color w:val="auto"/>
        </w:rPr>
      </w:pPr>
    </w:p>
    <w:p>
      <w:pPr>
        <w:ind w:left="500" w:hanging="330"/>
        <w:spacing w:after="0" w:line="255"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revenue increased 34.0% to a record of $309.0 million, driven by acquisitions during the last twelve months as well as organic growth</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Contractor Solutions delivered organic revenue growth of 2.6% in the fourth quarter</w:t>
      </w:r>
    </w:p>
    <w:p>
      <w:pPr>
        <w:spacing w:after="0" w:line="13" w:lineRule="exact"/>
        <w:rPr>
          <w:rFonts w:ascii="Arial" w:cs="Arial" w:eastAsia="Arial" w:hAnsi="Arial"/>
          <w:sz w:val="20"/>
          <w:szCs w:val="20"/>
          <w:color w:val="auto"/>
        </w:rPr>
      </w:pPr>
    </w:p>
    <w:p>
      <w:pPr>
        <w:ind w:left="500" w:hanging="330"/>
        <w:spacing w:after="0" w:line="246"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Earnings per diluted share ("EPS") of $1.22 decreased 41.1% when compared to $2.08, driven primarily by a non-cash impairment and higher interest expense</w:t>
      </w:r>
    </w:p>
    <w:p>
      <w:pPr>
        <w:spacing w:after="0" w:line="1" w:lineRule="exact"/>
        <w:rPr>
          <w:rFonts w:ascii="Arial" w:cs="Arial" w:eastAsia="Arial" w:hAnsi="Arial"/>
          <w:sz w:val="20"/>
          <w:szCs w:val="20"/>
          <w:color w:val="auto"/>
        </w:rPr>
      </w:pPr>
    </w:p>
    <w:p>
      <w:pPr>
        <w:ind w:left="500" w:right="20" w:hanging="330"/>
        <w:spacing w:after="0" w:line="246"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EPS of $3.14, excluding the amortization of acquisition-related intangible assets, non-cash impairment and nonrecurring expenses, increased 21.1% when compared to $2.59</w:t>
      </w:r>
    </w:p>
    <w:p>
      <w:pPr>
        <w:spacing w:after="0" w:line="1" w:lineRule="exact"/>
        <w:rPr>
          <w:rFonts w:ascii="Arial" w:cs="Arial" w:eastAsia="Arial" w:hAnsi="Arial"/>
          <w:sz w:val="20"/>
          <w:szCs w:val="20"/>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income attributable to CSW of $20.2 million decreased 42.4% when compared to $35.1 million</w:t>
      </w:r>
    </w:p>
    <w:p>
      <w:pPr>
        <w:spacing w:after="0" w:line="13" w:lineRule="exact"/>
        <w:rPr>
          <w:rFonts w:ascii="Arial" w:cs="Arial" w:eastAsia="Arial" w:hAnsi="Arial"/>
          <w:sz w:val="20"/>
          <w:szCs w:val="20"/>
          <w:color w:val="auto"/>
        </w:rPr>
      </w:pPr>
    </w:p>
    <w:p>
      <w:pPr>
        <w:ind w:left="480" w:hanging="310"/>
        <w:spacing w:after="0"/>
        <w:tabs>
          <w:tab w:leader="none" w:pos="480" w:val="left"/>
        </w:tabs>
        <w:numPr>
          <w:ilvl w:val="0"/>
          <w:numId w:val="2"/>
        </w:numPr>
        <w:rPr>
          <w:rFonts w:ascii="Arial" w:cs="Arial" w:eastAsia="Arial" w:hAnsi="Arial"/>
          <w:sz w:val="20"/>
          <w:szCs w:val="20"/>
          <w:color w:val="auto"/>
        </w:rPr>
      </w:pPr>
      <w:r>
        <w:rPr>
          <w:rFonts w:ascii="Arial" w:cs="Arial" w:eastAsia="Arial" w:hAnsi="Arial"/>
          <w:sz w:val="20"/>
          <w:szCs w:val="20"/>
          <w:color w:val="auto"/>
        </w:rPr>
        <w:t>Adjusted EBITDA of $82.9 million increased 38.8%, setting a quarterly record</w:t>
      </w:r>
    </w:p>
    <w:p>
      <w:pPr>
        <w:ind w:left="500" w:hanging="330"/>
        <w:spacing w:after="0" w:line="267" w:lineRule="auto"/>
        <w:tabs>
          <w:tab w:leader="none" w:pos="488" w:val="left"/>
        </w:tabs>
        <w:numPr>
          <w:ilvl w:val="0"/>
          <w:numId w:val="2"/>
        </w:numPr>
        <w:rPr>
          <w:rFonts w:ascii="Arial" w:cs="Arial" w:eastAsia="Arial" w:hAnsi="Arial"/>
          <w:sz w:val="20"/>
          <w:szCs w:val="20"/>
          <w:color w:val="auto"/>
        </w:rPr>
      </w:pPr>
      <w:r>
        <w:rPr>
          <w:rFonts w:ascii="Arial" w:cs="Arial" w:eastAsia="Arial" w:hAnsi="Arial"/>
          <w:sz w:val="20"/>
          <w:szCs w:val="20"/>
          <w:color w:val="auto"/>
        </w:rPr>
        <w:t>Net debt of $842.7 million at the end of the quarter, resulting in a net leverage ratio (net Debt to EBITDA), in accordance with our credit facility, of 2.55x, within our stated target range of 1-3x</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Fiscal 2026 Full Year Highlights </w:t>
      </w:r>
      <w:r>
        <w:rPr>
          <w:rFonts w:ascii="Arial" w:cs="Arial" w:eastAsia="Arial" w:hAnsi="Arial"/>
          <w:sz w:val="20"/>
          <w:szCs w:val="20"/>
          <w:color w:val="auto"/>
        </w:rPr>
        <w:t>(comparisons to fiscal 2025 full year)</w:t>
      </w:r>
    </w:p>
    <w:p>
      <w:pPr>
        <w:spacing w:after="0" w:line="258" w:lineRule="exact"/>
        <w:rPr>
          <w:sz w:val="20"/>
          <w:szCs w:val="20"/>
          <w:color w:val="auto"/>
        </w:rPr>
      </w:pPr>
    </w:p>
    <w:p>
      <w:pPr>
        <w:ind w:left="480" w:hanging="310"/>
        <w:spacing w:after="0"/>
        <w:tabs>
          <w:tab w:leader="none" w:pos="480" w:val="left"/>
        </w:tabs>
        <w:numPr>
          <w:ilvl w:val="0"/>
          <w:numId w:val="3"/>
        </w:numPr>
        <w:rPr>
          <w:rFonts w:ascii="Arial" w:cs="Arial" w:eastAsia="Arial" w:hAnsi="Arial"/>
          <w:sz w:val="20"/>
          <w:szCs w:val="20"/>
          <w:b w:val="1"/>
          <w:bCs w:val="1"/>
          <w:i w:val="1"/>
          <w:iCs w:val="1"/>
          <w:color w:val="auto"/>
        </w:rPr>
      </w:pPr>
      <w:r>
        <w:rPr>
          <w:rFonts w:ascii="Arial" w:cs="Arial" w:eastAsia="Arial" w:hAnsi="Arial"/>
          <w:sz w:val="20"/>
          <w:szCs w:val="20"/>
          <w:color w:val="auto"/>
        </w:rPr>
        <w:t>Total revenue increased 23.3% to a record of $1.1 billion, driven by acquisitions during the last twelve months</w:t>
      </w:r>
    </w:p>
    <w:p>
      <w:pPr>
        <w:spacing w:after="0" w:line="31" w:lineRule="exact"/>
        <w:rPr>
          <w:rFonts w:ascii="Arial" w:cs="Arial" w:eastAsia="Arial" w:hAnsi="Arial"/>
          <w:sz w:val="20"/>
          <w:szCs w:val="20"/>
          <w:b w:val="1"/>
          <w:bCs w:val="1"/>
          <w:i w:val="1"/>
          <w:iCs w:val="1"/>
          <w:color w:val="auto"/>
        </w:rPr>
      </w:pPr>
    </w:p>
    <w:p>
      <w:pPr>
        <w:ind w:left="500" w:right="20" w:hanging="330"/>
        <w:spacing w:after="0" w:line="246" w:lineRule="auto"/>
        <w:tabs>
          <w:tab w:leader="none" w:pos="488"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EPS of $6.70, decreased 20.0% when compared to $8.38, driven primarily by higher interest expense, non-cash impairment, and non-recurring expenses</w:t>
      </w:r>
    </w:p>
    <w:p>
      <w:pPr>
        <w:spacing w:after="0" w:line="1" w:lineRule="exact"/>
        <w:rPr>
          <w:rFonts w:ascii="Arial" w:cs="Arial" w:eastAsia="Arial" w:hAnsi="Arial"/>
          <w:sz w:val="20"/>
          <w:szCs w:val="20"/>
          <w:i w:val="1"/>
          <w:iCs w:val="1"/>
          <w:color w:val="auto"/>
        </w:rPr>
      </w:pPr>
    </w:p>
    <w:p>
      <w:pPr>
        <w:ind w:left="480" w:hanging="310"/>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Adjusted EPS of $10.38, increased 6.9% when compared to $9.71</w:t>
      </w:r>
    </w:p>
    <w:p>
      <w:pPr>
        <w:ind w:left="480" w:hanging="310"/>
        <w:spacing w:after="0"/>
        <w:tabs>
          <w:tab w:leader="none" w:pos="48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income attributable to CSW of $112.0 million decreased 18.0% when compared to $136.7 million</w:t>
      </w:r>
    </w:p>
    <w:p>
      <w:pPr>
        <w:spacing w:after="0" w:line="13" w:lineRule="exact"/>
        <w:rPr>
          <w:rFonts w:ascii="Arial" w:cs="Arial" w:eastAsia="Arial" w:hAnsi="Arial"/>
          <w:sz w:val="20"/>
          <w:szCs w:val="20"/>
          <w:color w:val="auto"/>
        </w:rPr>
      </w:pPr>
    </w:p>
    <w:p>
      <w:pPr>
        <w:ind w:left="480" w:hanging="310"/>
        <w:spacing w:after="0"/>
        <w:tabs>
          <w:tab w:leader="none" w:pos="480" w:val="left"/>
        </w:tabs>
        <w:numPr>
          <w:ilvl w:val="0"/>
          <w:numId w:val="3"/>
        </w:numPr>
        <w:rPr>
          <w:rFonts w:ascii="Arial" w:cs="Arial" w:eastAsia="Arial" w:hAnsi="Arial"/>
          <w:sz w:val="20"/>
          <w:szCs w:val="20"/>
          <w:i w:val="1"/>
          <w:iCs w:val="1"/>
          <w:color w:val="auto"/>
        </w:rPr>
      </w:pPr>
      <w:r>
        <w:rPr>
          <w:rFonts w:ascii="Arial" w:cs="Arial" w:eastAsia="Arial" w:hAnsi="Arial"/>
          <w:sz w:val="20"/>
          <w:szCs w:val="20"/>
          <w:color w:val="auto"/>
        </w:rPr>
        <w:t>Adjusted EBITDA increased 18.3% to a record $269.6 million</w:t>
      </w:r>
    </w:p>
    <w:p>
      <w:pPr>
        <w:spacing w:after="0" w:line="13" w:lineRule="exact"/>
        <w:rPr>
          <w:rFonts w:ascii="Arial" w:cs="Arial" w:eastAsia="Arial" w:hAnsi="Arial"/>
          <w:sz w:val="20"/>
          <w:szCs w:val="20"/>
          <w:i w:val="1"/>
          <w:iCs w:val="1"/>
          <w:color w:val="auto"/>
        </w:rPr>
      </w:pPr>
    </w:p>
    <w:p>
      <w:pPr>
        <w:ind w:left="500" w:hanging="330"/>
        <w:spacing w:after="0" w:line="253" w:lineRule="auto"/>
        <w:tabs>
          <w:tab w:leader="none" w:pos="488" w:val="left"/>
        </w:tabs>
        <w:numPr>
          <w:ilvl w:val="0"/>
          <w:numId w:val="3"/>
        </w:numPr>
        <w:rPr>
          <w:rFonts w:ascii="Arial" w:cs="Arial" w:eastAsia="Arial" w:hAnsi="Arial"/>
          <w:sz w:val="20"/>
          <w:szCs w:val="20"/>
          <w:color w:val="auto"/>
        </w:rPr>
      </w:pPr>
      <w:r>
        <w:rPr>
          <w:rFonts w:ascii="Arial" w:cs="Arial" w:eastAsia="Arial" w:hAnsi="Arial"/>
          <w:sz w:val="20"/>
          <w:szCs w:val="20"/>
          <w:color w:val="auto"/>
        </w:rPr>
        <w:t>Invested $1.0 billion in acquisitions and $17.3 million in organic capital expenditures, while returning total cash of $145.5 million to shareholders through share repurchases of $127.5 million and dividends of $18.0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Comments from the Chairman, President, and Chief Executive Officer</w:t>
      </w:r>
    </w:p>
    <w:p>
      <w:pPr>
        <w:spacing w:after="0" w:line="23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Joseph B. Armes, CSW Industrials’ Chairman, President, and Chief Executive Officer, commented, "I am pleased to report all-time record revenue and adjusted EBITDA for the fiscal fourth quarter and full fiscal year 2026, while also delivering record adjusted EPS. Reaching one</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20"/>
          <w:szCs w:val="20"/>
          <w:color w:val="auto"/>
        </w:rPr>
        <w:t>billion dollars in annual revenue in just ten years is a milestone worth celebrating. These record setting results are attributable to CSW's successful growth strategy, which was accelerated by the recent acquisition and integration of businesses in two of our three reporting segments. Our Contractor Solutions segment strengthened its HVAC/R and electrical product offerings while our SRS segment further diversified its end market exposures. In addition, during the fiscal fourth quarter, our Contractor Solutions segment completed the strategic acquisition of Duckt-Strip, creating an immediate opportunity to accelerate sales growth on a differentiated electrical cable in the fast-growing HVAC mini-split market."</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Armes continued, "Disciplined investments in immediately accretive acquisitions have added fast growing products to our portfolio, opened new end markets, and allowed CSW to leverage our broad distribution network. We enter fiscal year 2027 with a cautiously optimistic outlook for our primary end markets, and with conviction that we can continue to deliver growth that outpaces the markets we serve. We anticipate delivering meaningful growth in revenue, adjusted EBITDA, adjusted EPS, and cash flows in fiscal 2027."</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Fourth Quarter Consolidated Results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Fiscal fourth quarter revenue was $309.0 million, a $78.4 million or 34.0% increase over the prior year period. Total revenue growth included $72.0 million or 31.2% inorganic growth contributed by acquisitions completed over the last twelve months, which are reported within the Contractor Solutions and Specialized Reliability Solutions segments, as well as an increase in organic revenue of $6.4 million or 2.8%, contributed by 2.6% growth in Contractor Solutions and 8.8% growth in Specialized Reliability Solutions segments, offset by Engineered Building Solutions.</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Gross profit in the fiscal fourth quarter was $126.6 million, or $134.5 million adjusted, representing 24.3%, or 32.0% adjusted, growth over $101.9 million in the prior year period. Adjustments made to gross margin in the quarter include expenses related to acquisition-related integration, a nonrecurring inventory write-down associated with a realignment of our distribution strategy, a reclass from operating expenses to cost of goods sold from the sequential prior quarter and expenses related to a planned exit and disposition of a business line within Engineered Building Solutions ("Greco Plans"). Gross margin contracted 320 basis points ("bps") to 41.0%, or 70 bps to 43.5% as adjusted, compared to 44.2% in the prior year period. The adjusted gross margin decrease was primarily a result of previously communicated acquisition-related dilution and the inflation of some material costs, partially offset by pricing actions and favorable freight costs.</w:t>
      </w:r>
    </w:p>
    <w:p>
      <w:pPr>
        <w:spacing w:after="0" w:line="21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Operating expenses were $87.1 million, or $ 71.9 million adjusted. Adjustments in the quarter include a $15.6 million impairment and additional $1.4 million expenses related to the Greco Plans, $2.6 million in nonrecurring expenses related to transaction and integration expenses for completed acquisitions, restructuring, and a discrete inventory write-down associated with a realignment of our distribution strategy. In addition, the aforementioned expense reclass between cost of goods sold and operating expenses for the full fiscal year period reduced the impact of the adjustments mentioned above. Operating expenses in the prior period quarter were $56.8 million, or $53.3 million adjusted. Operating expenses were higher in the current period due to additional expenses related to acquired companies, including amortization of intangible assets. Operating expenses as a percentage of revenue were 28.2%, or 23.3% adjusted, higher than the prior year period of 24.7%, or 23.1% adjusted as acquisitions-related synergies have not yet been fully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14" w:right="339" w:bottom="1440" w:gutter="0" w:footer="0" w:header="0"/>
        </w:sectPr>
      </w:pPr>
    </w:p>
    <w:bookmarkStart w:id="5" w:name="page6"/>
    <w:bookmarkEnd w:id="5"/>
    <w:p>
      <w:pPr>
        <w:jc w:val="both"/>
        <w:spacing w:after="0"/>
        <w:rPr>
          <w:sz w:val="20"/>
          <w:szCs w:val="20"/>
          <w:color w:val="auto"/>
        </w:rPr>
      </w:pPr>
      <w:r>
        <w:rPr>
          <w:rFonts w:ascii="Arial" w:cs="Arial" w:eastAsia="Arial" w:hAnsi="Arial"/>
          <w:sz w:val="20"/>
          <w:szCs w:val="20"/>
          <w:color w:val="auto"/>
        </w:rPr>
        <w:t>Operating income in the current period was $39.5 million, or $62.6 million adjusted, compared to $45.0 million, or $48.6 million adjusted, in the prior year period. Operating income as a percentage of revenue was 12.8%, or 20.3% adjusted, compared to 19.5% or 21.1% adjusted in the prior year period. The decrease in operating margin was a result of the previously mentioned contraction in the gross margin and increased operating expenses, some of which we expect to offset in future periods as acquisition synergies are attained.</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Interest expense, net of interest income, was $11.8 million, as compared to interest income of $1.6 million in the prior year period. Interest expense in the quarter resulted from the Term Loan A as well as borrowings outstanding under our revolving line of credit, due to our acquisitions and share repurchases. The prior year period contained interest income from money market investments utilizing cash on hand from the follow-on equity offering in September 2024, prior to investing in the recent acquisitions and share repurchases.</w:t>
      </w:r>
    </w:p>
    <w:p>
      <w:pPr>
        <w:spacing w:after="0" w:line="20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the current period, reported net income attributable to CSW decreased 42.4% to $20.2 million, compared to $35.1 million in the prior year period. EPS was $1.22 per diluted share, a decrease of 41.1% as compared to $2.08 per diluted share in the prior year period, driven by aforementioned impairment and nonrecurring expenses and higher interest expenses, partially offset by contributions from recent acquisitions. Excluding the amortization of acquisition-related intangible assets and the aforementioned impairment and nonrecurring expenses, adjusted EPS increased 21.1% to $3.14 per diluted share, compared to $2.59 per diluted share in the prior year period.</w:t>
      </w:r>
    </w:p>
    <w:p>
      <w:pPr>
        <w:spacing w:after="0" w:line="217"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Fiscal 2026 fourth quarter adjusted EBITDA increased 38.8% to a record $ 82.9 million, up from $59.8 million in the prior year period. Adjusted EBITDA margin expanded 90 bps to 26.8%, compared to 25.9% in the prior year period, due to the realized synergies from recent acquisitions.</w:t>
      </w:r>
    </w:p>
    <w:p>
      <w:pPr>
        <w:spacing w:after="0" w:line="19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quarterly cash flows from operations were an outflow of $1.7 million, as compared to an inflow of $27.3 million in the prior year period. Free cash flow, defined as cash flow from operations minus capital expenditures, was an outflow of $6.8 million, compared to an inflow of $22.8 million in the prior year period, a decrease of $29.6 million. The decreases were primarily due to working capital deployed in the quarter to support our record revenue.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Following quarter-end, the Company announced its twenty-ninth consecutive regular quarterly cash dividend in the amount of $0.30 per share, which was paid on May 8, 2026, to shareholders of record on April 24, 2026.</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Company’s effective tax rate for the fiscal fourth quarter was 27.1%, or 22.0% adjusted, as compared to 24.6%, or 24.7% adjusted, in the prior year period. The lower adjusted effective tax rate in the current year period was due to the favorable impact from the finalization of annual tax provision in the fiscal fourth quarter.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Fourth Quarter Segment Results</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Contractor Solutions segment revenue was $237.1 million, a $ 71.2 million or 42.9% increase over the prior year period, comprised of inorganic growth of $66.9 million from acquisitions in the last twelve months and a 2.6% or $4.3 million increase in organic revenue from pricing actions. As compared to the prior year period, net revenue growth was driven by the HVAC/R, plumbing, and architecturally-specified building products end markets. Including pre-acquisition revenue effect from the recent acquisitions of Aspen Manufacturing and MARS Parts, as if they had been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14" w:right="339" w:bottom="1440" w:gutter="0" w:footer="0" w:header="0"/>
        </w:sectPr>
      </w:pPr>
    </w:p>
    <w:bookmarkStart w:id="6" w:name="page7"/>
    <w:bookmarkEnd w:id="6"/>
    <w:p>
      <w:pPr>
        <w:jc w:val="both"/>
        <w:spacing w:after="0" w:line="234" w:lineRule="auto"/>
        <w:rPr>
          <w:sz w:val="20"/>
          <w:szCs w:val="20"/>
          <w:color w:val="auto"/>
        </w:rPr>
      </w:pPr>
      <w:r>
        <w:rPr>
          <w:rFonts w:ascii="Arial" w:cs="Arial" w:eastAsia="Arial" w:hAnsi="Arial"/>
          <w:sz w:val="20"/>
          <w:szCs w:val="20"/>
          <w:color w:val="auto"/>
        </w:rPr>
        <w:t>owned by the Company during the same period in the prior year, our organic revenue growth would have been 5.5% in the current quarter. Segment operating income was $ 52.8 million, or $56.8 million adjusted to exclude $3.0 million of nonrecurring expenses related to transaction and integration expenses for completed acquisitions and a discrete inventory write-down associated with a realignment of our distribution strategy, compared to $43.0 million, or $46.5 million adjusted, in the prior year period. The increase in operating profit resulted from the inclusion of recently acquired businesses and pricing actions, partially offset by increased tariffs, and lower organic sales. Segment operating income margin for the fiscal fourth quarter was 22.2%, or 24.0% adjusted, as compared to 25.9%, or 28.0% adjusted, in the prior year period primarily due to lower margins from recent acquisitions and increased tariffs, offset somewhat by pricing actions and lower domestic and ocean freight costs. Segment adjusted EBITDA in the fiscal fourth quarter increased 34.1% to $75.1 million, or 31.7% of revenue, compared to $ 56.0 million, or 33.7% of revenue in the prior year period. The decline in margin is primarily due to lower margins associated with recent acquisitions.</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Specialized Reliability Solutions segment revenue was $46.2 million, a $8.5 million or 22.4% increase over the prior year period. Revenue growth was comprised of organic growth of $3.3 million, or 8.8%, and inorganic growth of $ 5.2 million, or 13.7%. Revenue increased in the mining, energy, and rail transportation end markets and declined in the general industrial end market. Segment operating income was $7.2 million, or $8.4 million adjusted to exclude nonrecurring expenses related to integration expenses for closed acquisitions and restructuring expenses, an increase of 88.8% compared to $4.5 million in the prior year period. Segment operating income margin for the fiscal fourth quarter was 15.6%, or 18.2% adjusted, as compared to the prior year period of 11.8% due to higher margins on recent acquisitions, pricing actions, and a favorable product mix, offset somewhat by increased material costs. Segment adjusted EBITDA in the fiscal fourth quarter was $10.1 million, or 21.8% of revenue, compared to $5.8 million, or 15.3% of revenue in the prior year period.</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Engineered Building Solutions segment revenue was $27.6 million; a 3.8% decrease compared to $28.7 million in the prior year period. Segment operating loss was $13.4 million, or (48.4)% of revenue, as compared to the prior year period of $ 3.7 million, or 13.0% of revenue. The decrease is primarily the result of the aforementioned impairment and expenses related to the Greco Plans. Excluding the Greco Plans related impairment and expenses, segment adjusted operating income was $4.4 million, or 15.9% of revenue, as compared to the prior year period of $3.7 million, or 13.0% of revenue. The increased adjusted operating income was driven by favorable project mix and workforce management, more than offsetting increased material costs. Segment adjusted EBITDA and adjusted EBITDA margin in the fiscal fourth quarter were $4.9 million and 17.6%, respectively, compared to $4.2 million and 14.5%, respectively, in the prior year period.</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During the fiscal quarter, in connection with the Greco Plans, we recorded a non-cash impairment charge of $15.6 million and additional exit-related expenses of $2.1 million, both of which are reported in our Engineered Building Solutions segment.</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Excluding the Greco businesses, Engineered Building Solutions segment revenue was $21.7 million; a 10.5% increase compared to $19.7 million in the prior year period. Segment adjusted EBITDA and adjusted EBITDA margin in the fiscal fourth quarter were $5.6 million and 25.8%, respectively, compared to $4.2 million and 21.2%, respectively, in the prior year period.</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All percentages are calculated based upon the attached financial statements. Share counts used in determining the diluted EPS are based on a weighted average of outstanding shares throughout the reporting period.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14" w:right="339" w:bottom="1440" w:gutter="0" w:footer="0" w:header="0"/>
        </w:sectPr>
      </w:pPr>
    </w:p>
    <w:bookmarkStart w:id="7" w:name="page8"/>
    <w:bookmarkEnd w:id="7"/>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Full Year Consolidated Results</w:t>
      </w:r>
    </w:p>
    <w:p>
      <w:pPr>
        <w:spacing w:after="0" w:line="2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Consolidated revenue was $1.1 billion, representing 23.3% growth from $878.3 million in the prior year period, with growth coming from the Contractor Solutions and Specialized Reliability Solutions segments. Of the $204.2 million total growth, $222.6 million was inorganic from acquisitions in the last twelve months, offset by a $18.4 million or 2.1% decrease in organic revenue due to end market headwinds.</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Gross profit in the current year was $453.7 million, or $461.6 million adjusted, representing $60.4 million or 15.3% growth from $393.3 million in the prior year, or 17.4% growth as adjusted, with the incremental profit resulting predominantly from revenue growth and favorable ocean and domestic freight costs, partially offset by increases in material costs directly and indirectly driven by tariffs. Adjustments made to gross margin in the year include expenses related to acquisition-related integration, the previously mentioned nonrecurring inventory write-down associated with a realignment of our distribution strategy, and expenses related to Greco Plans. Gross profit as a percentage of sales was 41.9%, or 42.6% adjusted, compared to 44.8% in the prior year. Adjusted gross margin decline was a result of the inclusion of recent acquisitions and increases in tariffs and material costs, partially offset by pricing actions and favorable ocean and domestic freight costs.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Operating expenses as a percentage of revenue were 26.3%, or 24.0% adjusted, an increase compared to the prior year of 24.1%, or 23.6% adjusted. Adjustments to operating expenses include Greco Plans related expenses of $17.0 million, nonrecurring expenses of $7.9 million during the current year related to transaction and integration expenses for closed acquisitions, as well as restructuring expenses of $ 0.5 million. Operating expenses in the current year period were $285.1 million or $259.7 million adjusted as compared to $212.1 million, or $ 207.7 million in the prior year. The additional expenses were related to recent acquisitions, including amortization of intangible assets.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Operating income was $ 168.5 million or $201.9 million adjusted to exclude the aforementioned items, as compared to $ 181.2 million, or $185.6 million adjusted, in the prior year. The incremental adjusted operating income resulted from the gross profit increase, partially offset by the operating expense increase as discussed above. Operating income margin in the current period decreased to 15.6% or 18.7% adjusted, compared to the prior year of 20.6%, or 21.1% adjusted. During the comparative periods, the lower operating income margin was due to the decrease in gross margin, as well as a slight increase in operating expenses as a percentage of revenue.</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Interest expense, net was $22.2 million, compared to $0.3 million in the prior year. The increase of $22.0 million was a result of a higher debt balance for the year due to funding the recent acquisitions and share repurchases.</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Net income attributable to CSW decreased to $112.0 million, compared to the prior year of $136.7 million. EPS was $6.70, compared to $8.38 in the prior year. Excluding the amortization of acquisition-related intangible assets and the aforementioned impairment and nonrecurring expenses, adjusted EPS was $10.38 vs. $9.71, a 6.9% increase over the prior year.</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9"/>
          <w:szCs w:val="19"/>
          <w:color w:val="auto"/>
        </w:rPr>
        <w:t>Fiscal 2026 adjusted EBITDA increased 18.3% to $ 269.6 million from $227.9 million in the prior year. Adjusted EBITDA as a percentage of revenue contracted 100 bps to 24.9%, compared to 25.9%, in the prior year due mostly to the lower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20"/>
          <w:szCs w:val="20"/>
          <w:color w:val="auto"/>
        </w:rPr>
        <w:t>Net cash provided by operating activities for fiscal 2026 was $149.7 million, compared to $ 168.4 million in the prior year. Operating cash flow during the fiscal year 2026 decreased $18.7 million or 11.1% primarily due to the working capital deployed in the fiscal fourth quarter to support our record revenue, as well as the impact from the aforementioned nonrecurring integration and transaction expenses related to completed acquisitions.</w:t>
      </w:r>
    </w:p>
    <w:p>
      <w:pPr>
        <w:spacing w:after="0" w:line="21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Including cash on hand, our net debt according to our credit facility covenant calculation was $842.7 million, resulting in a net Debt-to-EBITDA leverage ratio of 2.55x. The Company ended the quarter with $871.5 million outstanding on the revolving line of credit and the Term Loan A. The revolving line of credit and Term Loan A currently will have an interest rate of one-month SOFR plus 200 basis points following the fiscal fourth quarter covenant calculation submission, per terms of the credit facility. In the third quarter of fiscal 2026, the Company entered into a three-year syndicated interest rate hedge to lock in the SOFR rate at 3.416% for the first $300.0 million borrowing under the Term Loan A.</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In fiscal 2026, the Company deployed $1.0 billion of capital to acquisitions and $17.3 million in organic capital expenditures, while returning $145.5 million of total cash to shareholders through share repurchases of $127.5 million and dividends of $18.0 million.</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Company’s effective tax rate for the fiscal year was 22.5%, or 24.7% adjusted, as compared to 23.7% or 25.5% adjusted in the prior year. The adjusted effective tax rate was favorably impacted by the estimated tax credits and share grant activities.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2026 Full Year Segment Results</w:t>
      </w:r>
    </w:p>
    <w:p>
      <w:pPr>
        <w:spacing w:after="0" w:line="245"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Contractor Solutions segment revenue was $810.3 million, a $193.0 million or 31.3% increase from the prior year. Revenue growth was comprised of inorganic growth from acquisitions during the last twelve months ($215.1 million, or 34.8%, of growth), offset by a decrease in organic growth of $22.1 million or 3.6% due to lower unit volumes partially offset by pricing actions. Organic unit volumes were down in the current fiscal year due to weaker housing activity, a one-time stock up of inventory in the prior year first quarter for a customer's added distribution center network, consumers' shift to repair of HVAC units versus replacement, and customer destocking at the end of the 2025 calendar year. As compared to the prior year, net revenue growth was driven by all end markets served. Segment operating income in the current year was $175.7 million, or $188.3 million adjusted to exclude $9.5 million of nonrecurring expenses related to transaction and integration expenses for completed acquisitions and a discrete inventory write-down associated with a realignment of our distribution strategy, compared to $165.9 million, or $170.3 million adjusted, in the prior year. The incremental profit resulted primarily from the inclusion of recent acquisitions, pricing actions and favorable ocean and domestic freight costs, partially offset by decreased organic volumes and increased tariffs. Segment operating income margin was 21.7%, or 23.2% adjusted, compared to 26.9%, or 27.6% adjusted, in the prior year, driven primarily by the inclusion of recent acquisitions including intangible amortization and an increase in tariffs, partially offset by pricing actions and lower ocean and domestic freight costs. Segment adjusted EBITDA in the current period was $248.8 million, or 30.7% of revenue, compared to $205.4 million, or 33.3% of revenue in the prior year period.</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Specialized Reliability Solutions segment revenue grew to $160.1 million, a $12.5 million or 8.4% increase from the prior year of $147.6 million. Revenue growth was comprised of inorganic growth of $7.5 million, or 5.1% and organic growth of $5.0 million, or 3.4%. Revenue grew in the general industrial and mining end markets, offset by a decrease in the energy end market. In the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1414" w:right="339" w:bottom="1440" w:gutter="0" w:footer="0" w:header="0"/>
        </w:sectPr>
      </w:pPr>
    </w:p>
    <w:bookmarkStart w:id="9" w:name="page10"/>
    <w:bookmarkEnd w:id="9"/>
    <w:p>
      <w:pPr>
        <w:jc w:val="both"/>
        <w:spacing w:after="0" w:line="237" w:lineRule="auto"/>
        <w:rPr>
          <w:sz w:val="20"/>
          <w:szCs w:val="20"/>
          <w:color w:val="auto"/>
        </w:rPr>
      </w:pPr>
      <w:r>
        <w:rPr>
          <w:rFonts w:ascii="Arial" w:cs="Arial" w:eastAsia="Arial" w:hAnsi="Arial"/>
          <w:sz w:val="20"/>
          <w:szCs w:val="20"/>
          <w:color w:val="auto"/>
        </w:rPr>
        <w:t>current year, segment operating income was $22.1 million, or $24.1 million adjusted to exclude nonrecurring expenses related to restructuring, transaction and integration expenses for completed acquisitions, which represents 13.8%, or 15.0% adjusted, of revenue, compared to the prior year period of $22.7 million, or 15.4% of revenue. The slight decline in segment operating income margin resulted from an escalation in material costs driven by indirect tariffs, increased commodity rates, and higher freight costs. Segment adjusted EBITDA in the current period was $29.7 million, or 18.5% of revenue, compared to $28.0 million, or 19.0% of revenue in the prior year.</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Engineered Building Solutions segment revenue was $ 119.9 million, a slight $1.2 million decrease compared to the prior year revenue of $121.1 million. Segment operating loss was $1.2 million, or operating income of $16.6 million adjusted to exclude a $15.6 million impairment and $2.1 million exit-related expenses. This represents a 13.6% decrease from prior year operating income of $ 19.2 million, or 15.8% of revenue, driven primarily by increased material costs and strategic pricing in response to competitive pressures. Segment adjusted EBITDA in the current period was $18.4 million, or 15.4% of revenue, compared to $21.0 million, or 17.4% of revenue in the prior year period.</w:t>
      </w:r>
    </w:p>
    <w:p>
      <w:pPr>
        <w:spacing w:after="0" w:line="20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Excluding the Greco business, Engineered Building Solutions segment revenue was $86.5 million, a 6.0% increase compared to $81.6 million in the prior year. Fiscal year segment adjusted EBITDA and adjusted EBITDA margin were $18.8 million and 21.8%, respectively, compared to $17.1 million and 20.9%, respectively, in the prior year.</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All percentages are calculated based upon the attached financial statements. Share count used in determining the diluted EPS is based on a weighted average of outstanding shares throughout the measurement period.</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258"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 Company will host a conference call today at 10:00 a.m. ET to discuss the results, followed by a question-and-answer session for the investment community. A live webcast of the call can be accessed at https://ir.csw.com. To access the call, participants may dial 1-877-407-0784, international callers may use 1-201-689-8560, and request to join the CSW Industrials earnings call.</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A telephonic replay will be available shortly after the conclusion of the call and until Tuesday, June 9, 2026. Participants may access the replay at 1-844-512-2921, international callers may use 1-412-317-6671 and enter access code 13760322. The call will also be available for replay via webcast link on the Investors portion of the CSW website www.csw.com.</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Safe Harbor Statement</w:t>
      </w:r>
    </w:p>
    <w:p>
      <w:pPr>
        <w:spacing w:after="0" w:line="245" w:lineRule="exact"/>
        <w:rPr>
          <w:sz w:val="20"/>
          <w:szCs w:val="20"/>
          <w:color w:val="auto"/>
        </w:rPr>
      </w:pPr>
    </w:p>
    <w:p>
      <w:pPr>
        <w:jc w:val="both"/>
        <w:spacing w:after="0" w:line="238" w:lineRule="auto"/>
        <w:rPr>
          <w:sz w:val="20"/>
          <w:szCs w:val="20"/>
          <w:color w:val="auto"/>
        </w:rPr>
      </w:pPr>
      <w:r>
        <w:rPr>
          <w:rFonts w:ascii="Arial" w:cs="Arial" w:eastAsia="Arial" w:hAnsi="Arial"/>
          <w:sz w:val="20"/>
          <w:szCs w:val="20"/>
          <w:color w:val="auto"/>
        </w:rPr>
        <w:t>This press release includes forward-looking statements within the meaning of Section 27A of the Securities Act of 1933 and Section 21E of the Securities Exchange Act of 1934, which are made pursuant to the safe harbor provisions of the Private Securities Litigation Reform Act of 1995, as amended. Words or phrases such as "may," "should," "expects," "could," "intends," "plans," "anticipates," "estimates," "believes," "forecasts," "predicts" or other similar expressions are intended to identify forward-looking statements, which include, without limitation, earnings forecasts, effective tax rate, statements relating to our business strategy and statements of expectations, beliefs, future plans and strategies and anticipated developments concerning our industry, business, operations, and financial performance and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1414" w:right="339" w:bottom="1440" w:gutter="0" w:footer="0" w:header="0"/>
        </w:sectPr>
      </w:pPr>
    </w:p>
    <w:bookmarkStart w:id="10" w:name="page11"/>
    <w:bookmarkEnd w:id="10"/>
    <w:p>
      <w:pPr>
        <w:jc w:val="both"/>
        <w:spacing w:after="0"/>
        <w:rPr>
          <w:sz w:val="20"/>
          <w:szCs w:val="20"/>
          <w:color w:val="auto"/>
        </w:rPr>
      </w:pPr>
      <w:r>
        <w:rPr>
          <w:rFonts w:ascii="Arial" w:cs="Arial" w:eastAsia="Arial" w:hAnsi="Arial"/>
          <w:sz w:val="20"/>
          <w:szCs w:val="20"/>
          <w:color w:val="auto"/>
        </w:rPr>
        <w:t>The forward-looking statements included in this press release are based on our current expectations, projections, estimates, and assumptions. These statements are only predictions, not guarantees. Such forward-looking statements are subject to numerous risks and uncertainties that are difficult to predict. These risks and uncertainties may cause actual results to differ materially from what is forecast in such forward-looking statements, and include, without limitation, the risk factors described from time to time in our filings with the Securities and Exchange Commission, including our Annual Report on Form 10-K.</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All forward-looking statements included in this press release are based on information currently available to us, and we assume no obligation to update any forward-looking statement except as may be required by law.</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5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press release includes an analysis of adjusted diluted earnings per share attributable to CSW, adjusted net income attributable to CSW, adjusted effective tax rate, adjusted gross profit, adjusted operating expenses, adjusted operating income, adjusted operating cash flows, adjusted free cash flows, revenue calculated to include pre-acquisition revenue effect for recent acquisitions, adjusted EBS excluding Greco and adjusted CSW excluding Greco, which are non-GAAP financial measures of performance. Attributable to CSW is defined to exclude the income attributable to the non-controlling interest in the Whitmore JV.</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20"/>
          <w:szCs w:val="20"/>
          <w:color w:val="auto"/>
        </w:rPr>
        <w:t>CSW utilizes adjusted EBITDA (earnings before interest, tax, depreciation and amortization) as an additional consolidated, non-GAAP financial measure, which consists of consolidated net income including income attributable to the non-controlling interest in the Whitmore JV, adjusted to remove the impact of income taxes, interest expense, depreciation, amortization and impairment, and significant nonrecurring items.</w:t>
      </w:r>
    </w:p>
    <w:p>
      <w:pPr>
        <w:spacing w:after="0" w:line="214"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For a reconciliation of these measures to the most directly comparable GAAP measures and for a discussion of why we consider these non-GAAP measures useful, see the “Reconciliation of Non-GAAP Measures” section of this release.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CSW Industrials, Inc.</w:t>
      </w:r>
    </w:p>
    <w:p>
      <w:pPr>
        <w:spacing w:after="0" w:line="245" w:lineRule="exact"/>
        <w:rPr>
          <w:sz w:val="20"/>
          <w:szCs w:val="20"/>
          <w:color w:val="auto"/>
        </w:rPr>
      </w:pPr>
    </w:p>
    <w:p>
      <w:pPr>
        <w:jc w:val="both"/>
        <w:spacing w:after="0"/>
        <w:rPr>
          <w:sz w:val="20"/>
          <w:szCs w:val="20"/>
          <w:color w:val="auto"/>
        </w:rPr>
      </w:pPr>
      <w:r>
        <w:rPr>
          <w:rFonts w:ascii="Arial" w:cs="Arial" w:eastAsia="Arial" w:hAnsi="Arial"/>
          <w:sz w:val="20"/>
          <w:szCs w:val="20"/>
          <w:color w:val="auto"/>
        </w:rPr>
        <w:t>CSW Industrials is a diversified industrial growth company with industry-leading operations in three segments: Contractor Solutions, Specialized Reliability Solutions, and Engineered Building Solutions. CSW provides niche, value-added products with two essential commonalities: performance and reliability. The primary end markets we serve with our well-known brands include: HVAC/R, plumbing, electrical, general industrial, architecturally-specified building products, energy, mining, and rail transportation. For more information, please visit www.csw.com.</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Alexa Huerta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and Treasurer</w:t>
      </w:r>
    </w:p>
    <w:p>
      <w:pPr>
        <w:spacing w:after="0"/>
        <w:rPr>
          <w:sz w:val="20"/>
          <w:szCs w:val="20"/>
          <w:color w:val="auto"/>
        </w:rPr>
      </w:pPr>
      <w:r>
        <w:rPr>
          <w:rFonts w:ascii="Arial" w:cs="Arial" w:eastAsia="Arial" w:hAnsi="Arial"/>
          <w:sz w:val="20"/>
          <w:szCs w:val="20"/>
          <w:color w:val="auto"/>
        </w:rPr>
        <w:t>214-489-7113</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alexa.huerta@csw.com</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14"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STATEMENTS OF INCOME</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262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Year Ended March 31,</w:t>
            </w: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6"/>
                <w:szCs w:val="16"/>
                <w:color w:val="auto"/>
              </w:rPr>
              <w:t>(Amounts in thousands, except per share amounts)</w:t>
            </w:r>
          </w:p>
        </w:tc>
        <w:tc>
          <w:tcPr>
            <w:tcW w:w="1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7"/>
        </w:trPr>
        <w:tc>
          <w:tcPr>
            <w:tcW w:w="5220" w:type="dxa"/>
            <w:vAlign w:val="bottom"/>
          </w:tcPr>
          <w:p>
            <w:pPr>
              <w:spacing w:after="0"/>
              <w:rPr>
                <w:sz w:val="20"/>
                <w:szCs w:val="20"/>
                <w:color w:val="auto"/>
              </w:rPr>
            </w:pPr>
            <w:r>
              <w:rPr>
                <w:rFonts w:ascii="Arial" w:cs="Arial" w:eastAsia="Arial" w:hAnsi="Arial"/>
                <w:sz w:val="18"/>
                <w:szCs w:val="18"/>
                <w:color w:val="auto"/>
              </w:rPr>
              <w:t>Revenues,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308,960</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230,549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1,082,549</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878,301</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(182,348)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(128,664)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(628,867)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(484,989)</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126,612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101,885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453,682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393,312</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(71,445)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(56,841)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(269,520)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(212,064)</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Impairment expense</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(15,627)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39,541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168,535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181,248</w:t>
            </w:r>
          </w:p>
        </w:tc>
        <w:tc>
          <w:tcPr>
            <w:tcW w:w="0" w:type="dxa"/>
            <w:vAlign w:val="bottom"/>
          </w:tcPr>
          <w:p>
            <w:pPr>
              <w:spacing w:after="0"/>
              <w:rPr>
                <w:sz w:val="1"/>
                <w:szCs w:val="1"/>
                <w:color w:val="auto"/>
              </w:rPr>
            </w:pPr>
          </w:p>
        </w:tc>
      </w:tr>
      <w:tr>
        <w:trPr>
          <w:trHeight w:val="270"/>
        </w:trPr>
        <w:tc>
          <w:tcPr>
            <w:tcW w:w="522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(11,785)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(22,245)</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0"/>
        </w:trPr>
        <w:tc>
          <w:tcPr>
            <w:tcW w:w="5220" w:type="dxa"/>
            <w:vAlign w:val="bottom"/>
          </w:tcPr>
          <w:p>
            <w:pPr>
              <w:ind w:left="22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(737)</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27,805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145,553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180,117</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(7,539)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(32,706)</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(42,633)</w:t>
            </w:r>
          </w:p>
        </w:tc>
        <w:tc>
          <w:tcPr>
            <w:tcW w:w="0" w:type="dxa"/>
            <w:vAlign w:val="bottom"/>
          </w:tcPr>
          <w:p>
            <w:pPr>
              <w:spacing w:after="0"/>
              <w:rPr>
                <w:sz w:val="1"/>
                <w:szCs w:val="1"/>
                <w:color w:val="auto"/>
              </w:rPr>
            </w:pPr>
          </w:p>
        </w:tc>
      </w:tr>
      <w:tr>
        <w:trPr>
          <w:trHeight w:val="23"/>
        </w:trPr>
        <w:tc>
          <w:tcPr>
            <w:tcW w:w="522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2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20,264</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35,053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112,847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137,484</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Income attributable to redeemable noncontrolling interest</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20" w:type="dxa"/>
            <w:vAlign w:val="bottom"/>
          </w:tcPr>
          <w:p>
            <w:pPr>
              <w:spacing w:after="0"/>
              <w:rPr>
                <w:sz w:val="20"/>
                <w:szCs w:val="20"/>
                <w:color w:val="auto"/>
              </w:rPr>
            </w:pPr>
            <w:r>
              <w:rPr>
                <w:rFonts w:ascii="Arial" w:cs="Arial" w:eastAsia="Arial" w:hAnsi="Arial"/>
                <w:sz w:val="18"/>
                <w:szCs w:val="18"/>
                <w:color w:val="auto"/>
              </w:rPr>
              <w:t>Net income attributable to CSW</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20,201</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112,045</w:t>
            </w:r>
          </w:p>
        </w:tc>
        <w:tc>
          <w:tcPr>
            <w:tcW w:w="8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136,652</w:t>
            </w:r>
          </w:p>
        </w:tc>
        <w:tc>
          <w:tcPr>
            <w:tcW w:w="0" w:type="dxa"/>
            <w:vAlign w:val="bottom"/>
          </w:tcPr>
          <w:p>
            <w:pPr>
              <w:spacing w:after="0"/>
              <w:rPr>
                <w:sz w:val="1"/>
                <w:szCs w:val="1"/>
                <w:color w:val="auto"/>
              </w:rPr>
            </w:pPr>
          </w:p>
        </w:tc>
      </w:tr>
      <w:tr>
        <w:trPr>
          <w:trHeight w:val="21"/>
        </w:trPr>
        <w:tc>
          <w:tcPr>
            <w:tcW w:w="5220" w:type="dxa"/>
            <w:vAlign w:val="bottom"/>
            <w:vMerge w:val="restart"/>
          </w:tcPr>
          <w:p>
            <w:pPr>
              <w:spacing w:after="0"/>
              <w:rPr>
                <w:sz w:val="20"/>
                <w:szCs w:val="20"/>
                <w:color w:val="auto"/>
              </w:rPr>
            </w:pPr>
            <w:r>
              <w:rPr>
                <w:rFonts w:ascii="Arial" w:cs="Arial" w:eastAsia="Arial" w:hAnsi="Arial"/>
                <w:sz w:val="18"/>
                <w:szCs w:val="18"/>
                <w:color w:val="auto"/>
              </w:rPr>
              <w:t>Net income per share attributable to CSW</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3"/>
        </w:trPr>
        <w:tc>
          <w:tcPr>
            <w:tcW w:w="52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0"/>
        </w:trPr>
        <w:tc>
          <w:tcPr>
            <w:tcW w:w="5220" w:type="dxa"/>
            <w:vAlign w:val="bottom"/>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527"/>
        </w:trPr>
        <w:tc>
          <w:tcPr>
            <w:tcW w:w="5220" w:type="dxa"/>
            <w:vAlign w:val="bottom"/>
          </w:tcPr>
          <w:p>
            <w:pPr>
              <w:spacing w:after="0"/>
              <w:rPr>
                <w:sz w:val="20"/>
                <w:szCs w:val="20"/>
                <w:color w:val="auto"/>
              </w:rPr>
            </w:pPr>
            <w:r>
              <w:rPr>
                <w:rFonts w:ascii="Arial" w:cs="Arial" w:eastAsia="Arial" w:hAnsi="Arial"/>
                <w:sz w:val="18"/>
                <w:szCs w:val="18"/>
                <w:color w:val="auto"/>
              </w:rPr>
              <w:t>Weighted average number of shares outstanding:</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16,434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16,653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16,242</w:t>
            </w:r>
          </w:p>
        </w:tc>
        <w:tc>
          <w:tcPr>
            <w:tcW w:w="0" w:type="dxa"/>
            <w:vAlign w:val="bottom"/>
          </w:tcPr>
          <w:p>
            <w:pPr>
              <w:spacing w:after="0"/>
              <w:rPr>
                <w:sz w:val="1"/>
                <w:szCs w:val="1"/>
                <w:color w:val="auto"/>
              </w:rPr>
            </w:pPr>
          </w:p>
        </w:tc>
      </w:tr>
      <w:tr>
        <w:trPr>
          <w:trHeight w:val="270"/>
        </w:trPr>
        <w:tc>
          <w:tcPr>
            <w:tcW w:w="5220" w:type="dxa"/>
            <w:vAlign w:val="bottom"/>
          </w:tcPr>
          <w:p>
            <w:pPr>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16,500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16,712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20"/>
          </w:cols>
          <w:pgMar w:left="340" w:top="1412" w:right="33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CONSOLIDATED BALANCE SHEETS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60" w:type="dxa"/>
            <w:vAlign w:val="bottom"/>
          </w:tcPr>
          <w:p>
            <w:pPr>
              <w:spacing w:after="0"/>
              <w:rPr>
                <w:sz w:val="20"/>
                <w:szCs w:val="20"/>
                <w:color w:val="auto"/>
              </w:rPr>
            </w:pPr>
            <w:r>
              <w:rPr>
                <w:rFonts w:ascii="Arial" w:cs="Arial" w:eastAsia="Arial" w:hAnsi="Arial"/>
                <w:sz w:val="16"/>
                <w:szCs w:val="16"/>
                <w:color w:val="auto"/>
              </w:rPr>
              <w:t>(Amounts in thousands, except per share amounts)</w:t>
            </w:r>
          </w:p>
        </w:tc>
        <w:tc>
          <w:tcPr>
            <w:tcW w:w="200" w:type="dxa"/>
            <w:vAlign w:val="bottom"/>
          </w:tcPr>
          <w:p>
            <w:pPr>
              <w:spacing w:after="0"/>
              <w:rPr>
                <w:sz w:val="22"/>
                <w:szCs w:val="22"/>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2026</w:t>
            </w:r>
          </w:p>
        </w:tc>
        <w:tc>
          <w:tcPr>
            <w:tcW w:w="200" w:type="dxa"/>
            <w:vAlign w:val="bottom"/>
          </w:tcPr>
          <w:p>
            <w:pPr>
              <w:spacing w:after="0"/>
              <w:rPr>
                <w:sz w:val="22"/>
                <w:szCs w:val="22"/>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2025</w:t>
            </w:r>
          </w:p>
        </w:tc>
        <w:tc>
          <w:tcPr>
            <w:tcW w:w="0" w:type="dxa"/>
            <w:vAlign w:val="bottom"/>
          </w:tcPr>
          <w:p>
            <w:pPr>
              <w:spacing w:after="0"/>
              <w:rPr>
                <w:sz w:val="1"/>
                <w:szCs w:val="1"/>
                <w:color w:val="auto"/>
              </w:rPr>
            </w:pPr>
          </w:p>
        </w:tc>
      </w:tr>
      <w:tr>
        <w:trPr>
          <w:trHeight w:val="241"/>
        </w:trPr>
        <w:tc>
          <w:tcPr>
            <w:tcW w:w="7360" w:type="dxa"/>
            <w:vAlign w:val="bottom"/>
          </w:tcPr>
          <w:p>
            <w:pPr>
              <w:ind w:left="32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36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33,799</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225,845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210,264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155,651</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309,707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194,876</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26,555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Assets held for sale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7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589,067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592,861</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107,536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93,415</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632,631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264,092</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900,051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357,910</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87,399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70,787</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2,316,684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1,379,065</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78"/>
        </w:trPr>
        <w:tc>
          <w:tcPr>
            <w:tcW w:w="7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36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76,930</w:t>
            </w:r>
          </w:p>
        </w:tc>
        <w:tc>
          <w:tcPr>
            <w:tcW w:w="120" w:type="dxa"/>
            <w:vAlign w:val="bottom"/>
          </w:tcPr>
          <w:p>
            <w:pPr>
              <w:spacing w:after="0"/>
              <w:rPr>
                <w:sz w:val="23"/>
                <w:szCs w:val="23"/>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54,767</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Accrued and other current liabilities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116,055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92,435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29,458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Liabilities held for sale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360" w:type="dxa"/>
            <w:vAlign w:val="bottom"/>
            <w:vMerge w:val="restart"/>
          </w:tcPr>
          <w:p>
            <w:pPr>
              <w:ind w:left="34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226,921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147,202</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839,836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Retirement benefits payable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179,489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138,347</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Noncurrent liabilities, discontinued operations</w:t>
            </w:r>
          </w:p>
        </w:tc>
        <w:tc>
          <w:tcPr>
            <w:tcW w:w="200" w:type="dxa"/>
            <w:vAlign w:val="bottom"/>
          </w:tcPr>
          <w:p>
            <w:pPr>
              <w:spacing w:after="0"/>
              <w:rPr>
                <w:sz w:val="23"/>
                <w:szCs w:val="23"/>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1,247,286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286,632</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Commitments and contingencies (Note 18)</w:t>
            </w: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18,989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20,187</w:t>
            </w: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Common shares, $0.01 par value</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0"/>
        </w:trPr>
        <w:tc>
          <w:tcPr>
            <w:tcW w:w="7360" w:type="dxa"/>
            <w:vAlign w:val="bottom"/>
          </w:tcPr>
          <w:p>
            <w:pPr>
              <w:ind w:left="66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520,076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501,286</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Treasury shares, at cost (1,544 and 1,027 shares, respectively)</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(257,704)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(122,125)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798,956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705,035</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(11,097)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(12,127)</w:t>
            </w:r>
          </w:p>
        </w:tc>
        <w:tc>
          <w:tcPr>
            <w:tcW w:w="0" w:type="dxa"/>
            <w:vAlign w:val="bottom"/>
          </w:tcPr>
          <w:p>
            <w:pPr>
              <w:spacing w:after="0"/>
              <w:rPr>
                <w:sz w:val="1"/>
                <w:szCs w:val="1"/>
                <w:color w:val="auto"/>
              </w:rPr>
            </w:pPr>
          </w:p>
        </w:tc>
      </w:tr>
      <w:tr>
        <w:trPr>
          <w:trHeight w:val="270"/>
        </w:trPr>
        <w:tc>
          <w:tcPr>
            <w:tcW w:w="7360" w:type="dxa"/>
            <w:vAlign w:val="bottom"/>
          </w:tcPr>
          <w:p>
            <w:pPr>
              <w:ind w:left="340"/>
              <w:spacing w:after="0"/>
              <w:rPr>
                <w:sz w:val="20"/>
                <w:szCs w:val="20"/>
                <w:color w:val="auto"/>
              </w:rPr>
            </w:pPr>
            <w:r>
              <w:rPr>
                <w:rFonts w:ascii="Arial" w:cs="Arial" w:eastAsia="Arial" w:hAnsi="Arial"/>
                <w:sz w:val="18"/>
                <w:szCs w:val="18"/>
                <w:color w:val="auto"/>
              </w:rPr>
              <w:t>Total equity</w:t>
            </w:r>
          </w:p>
        </w:tc>
        <w:tc>
          <w:tcPr>
            <w:tcW w:w="2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1,050,409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1,072,246</w:t>
            </w:r>
          </w:p>
        </w:tc>
        <w:tc>
          <w:tcPr>
            <w:tcW w:w="0" w:type="dxa"/>
            <w:vAlign w:val="bottom"/>
          </w:tcPr>
          <w:p>
            <w:pPr>
              <w:spacing w:after="0"/>
              <w:rPr>
                <w:sz w:val="1"/>
                <w:szCs w:val="1"/>
                <w:color w:val="auto"/>
              </w:rPr>
            </w:pPr>
          </w:p>
        </w:tc>
      </w:tr>
      <w:tr>
        <w:trPr>
          <w:trHeight w:val="23"/>
        </w:trPr>
        <w:tc>
          <w:tcPr>
            <w:tcW w:w="7360" w:type="dxa"/>
            <w:vAlign w:val="bottom"/>
            <w:vMerge w:val="restart"/>
          </w:tcPr>
          <w:p>
            <w:pPr>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7360" w:type="dxa"/>
            <w:vAlign w:val="bottom"/>
            <w:vMerge w:val="continue"/>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2,316,684</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1,379,065</w:t>
            </w:r>
          </w:p>
        </w:tc>
        <w:tc>
          <w:tcPr>
            <w:tcW w:w="0" w:type="dxa"/>
            <w:vAlign w:val="bottom"/>
          </w:tcPr>
          <w:p>
            <w:pPr>
              <w:spacing w:after="0"/>
              <w:rPr>
                <w:sz w:val="1"/>
                <w:szCs w:val="1"/>
                <w:color w:val="auto"/>
              </w:rPr>
            </w:pPr>
          </w:p>
        </w:tc>
      </w:tr>
      <w:tr>
        <w:trPr>
          <w:trHeight w:val="23"/>
        </w:trPr>
        <w:tc>
          <w:tcPr>
            <w:tcW w:w="7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141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580"/>
        <w:spacing w:after="0"/>
        <w:rPr>
          <w:sz w:val="20"/>
          <w:szCs w:val="20"/>
          <w:color w:val="auto"/>
        </w:rPr>
      </w:pPr>
      <w:r>
        <w:rPr>
          <w:rFonts w:ascii="Arial" w:cs="Arial" w:eastAsia="Arial" w:hAnsi="Arial"/>
          <w:sz w:val="19"/>
          <w:szCs w:val="19"/>
          <w:color w:val="auto"/>
        </w:rPr>
        <w:t>10</w:t>
      </w:r>
    </w:p>
    <w:p>
      <w:pPr>
        <w:sectPr>
          <w:pgSz w:w="11900" w:h="16838" w:orient="portrait"/>
          <w:cols w:equalWidth="0" w:num="1">
            <w:col w:w="11180"/>
          </w:cols>
          <w:pgMar w:left="360" w:top="1412" w:right="35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CSW INDUSTRIALS, INC.</w:t>
      </w:r>
    </w:p>
    <w:p>
      <w:pPr>
        <w:spacing w:after="0" w:line="3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38" w:lineRule="exact"/>
        <w:rPr>
          <w:sz w:val="20"/>
          <w:szCs w:val="20"/>
          <w:color w:val="auto"/>
        </w:rPr>
      </w:pPr>
    </w:p>
    <w:p>
      <w:pPr>
        <w:ind w:left="8620"/>
        <w:spacing w:after="0"/>
        <w:rPr>
          <w:sz w:val="20"/>
          <w:szCs w:val="20"/>
          <w:color w:val="auto"/>
        </w:rPr>
      </w:pPr>
      <w:r>
        <w:rPr>
          <w:rFonts w:ascii="Arial" w:cs="Arial" w:eastAsia="Arial" w:hAnsi="Arial"/>
          <w:sz w:val="18"/>
          <w:szCs w:val="18"/>
          <w:b w:val="1"/>
          <w:bCs w:val="1"/>
          <w:color w:val="auto"/>
        </w:rPr>
        <w:t>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5102225</wp:posOffset>
            </wp:positionH>
            <wp:positionV relativeFrom="paragraph">
              <wp:posOffset>34925</wp:posOffset>
            </wp:positionV>
            <wp:extent cx="19291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4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34"/>
        </w:trPr>
        <w:tc>
          <w:tcPr>
            <w:tcW w:w="80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112,847</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137,484</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15,907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14,210</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Amortization of acquisition-related intangible assets &amp; inventory step-up</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51,174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28,029</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Amortization of deferred financing fees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Provision for inventory reserves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Share-based and other executive compensation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13,587</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Fair value change in contingent consideration</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loss (gain) on disposals of property, plant and equipment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pension benefit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Impairment expenses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15,634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Net deferred taxes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(6,915)</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(27,076)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(9,116)</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(36,751)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(35,699)</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10,702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70"/>
        </w:trPr>
        <w:tc>
          <w:tcPr>
            <w:tcW w:w="8040" w:type="dxa"/>
            <w:vAlign w:val="bottom"/>
          </w:tcPr>
          <w:p>
            <w:pPr>
              <w:ind w:left="640"/>
              <w:spacing w:after="0"/>
              <w:rPr>
                <w:sz w:val="20"/>
                <w:szCs w:val="20"/>
                <w:color w:val="auto"/>
              </w:rPr>
            </w:pPr>
            <w:r>
              <w:rPr>
                <w:rFonts w:ascii="Arial" w:cs="Arial" w:eastAsia="Arial" w:hAnsi="Arial"/>
                <w:sz w:val="18"/>
                <w:szCs w:val="18"/>
                <w:color w:val="auto"/>
              </w:rPr>
              <w:t>Retirement benefits payable and other liabilities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149,653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168,362</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80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(17,257)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Proceeds from sale of assets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Cash paid for investments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Cash paid for acquisitions (net of cash received)</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(1,021,233)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(84,684)</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(1,043,073)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(102,221)</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Borrowings on lines of credit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505,724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32,723</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Repayments of lines of credit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(226,724)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(198,723)</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Borrowings on Term Loan A</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600,000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Repayments on Term Loan A</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Payments of deferred loan costs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Payments of contingent consideration</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(11,988)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Purchase of treasury shares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(132,746)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(27,693)</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Proceeds from issuance of equity</w:t>
            </w: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347,407</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Distributions to redeemable noncontrolling interest shareholder</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40" w:type="dxa"/>
            <w:vAlign w:val="bottom"/>
          </w:tcPr>
          <w:p>
            <w:pPr>
              <w:ind w:left="320"/>
              <w:spacing w:after="0"/>
              <w:rPr>
                <w:sz w:val="20"/>
                <w:szCs w:val="20"/>
                <w:color w:val="auto"/>
              </w:rPr>
            </w:pPr>
            <w:r>
              <w:rPr>
                <w:rFonts w:ascii="Arial" w:cs="Arial" w:eastAsia="Arial" w:hAnsi="Arial"/>
                <w:sz w:val="18"/>
                <w:szCs w:val="18"/>
                <w:color w:val="auto"/>
              </w:rPr>
              <w:t>Dividends paid to shareholders</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(14,582)</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cash provided by (used in) provided by financing activities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701,474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138,047</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Effect of exchange rate changes on cash and equivalents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
        </w:trPr>
        <w:tc>
          <w:tcPr>
            <w:tcW w:w="8040" w:type="dxa"/>
            <w:vAlign w:val="bottom"/>
            <w:vMerge w:val="restart"/>
          </w:tcPr>
          <w:p>
            <w:pPr>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80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(192,046)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203,689</w:t>
            </w:r>
          </w:p>
        </w:tc>
        <w:tc>
          <w:tcPr>
            <w:tcW w:w="0" w:type="dxa"/>
            <w:vAlign w:val="bottom"/>
          </w:tcPr>
          <w:p>
            <w:pPr>
              <w:spacing w:after="0"/>
              <w:rPr>
                <w:sz w:val="1"/>
                <w:szCs w:val="1"/>
                <w:color w:val="auto"/>
              </w:rPr>
            </w:pP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225,845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22,156</w:t>
            </w: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0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33,799</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225,845</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20" w:top="1412" w:right="399" w:bottom="811" w:gutter="0" w:footer="0" w:header="0"/>
        </w:sectPr>
      </w:pPr>
    </w:p>
    <w:p>
      <w:pPr>
        <w:spacing w:after="0" w:line="200" w:lineRule="exact"/>
        <w:rPr>
          <w:sz w:val="20"/>
          <w:szCs w:val="20"/>
          <w:color w:val="auto"/>
        </w:rPr>
      </w:pPr>
    </w:p>
    <w:p>
      <w:pPr>
        <w:spacing w:after="0" w:line="375"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420" w:top="1412" w:right="399" w:bottom="811" w:gutter="0" w:footer="0" w:header="0"/>
          <w:type w:val="continuous"/>
        </w:sectPr>
      </w:pPr>
    </w:p>
    <w:bookmarkStart w:id="14" w:name="page15"/>
    <w:bookmarkEnd w:id="14"/>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Reconciliation of Non-GAAP Measures</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222222"/>
        </w:rPr>
        <w:t xml:space="preserve">We use adjusted earnings per share attributable to CSW, adjusted net income attributable to CSW, adjusted gross profit, adjusted operating expenses, adjusted operating income, adjusted effective tax rate, adjusted EBITDA, adjusted operating cash flows, free cash flows, revenue calculated to include pre-acquisition revenue effect for recent acquisitions, </w:t>
      </w:r>
      <w:r>
        <w:rPr>
          <w:rFonts w:ascii="Arial" w:cs="Arial" w:eastAsia="Arial" w:hAnsi="Arial"/>
          <w:sz w:val="20"/>
          <w:szCs w:val="20"/>
          <w:color w:val="000000"/>
        </w:rPr>
        <w:t>adjusted EBS</w:t>
      </w:r>
      <w:r>
        <w:rPr>
          <w:rFonts w:ascii="Arial" w:cs="Arial" w:eastAsia="Arial" w:hAnsi="Arial"/>
          <w:sz w:val="20"/>
          <w:szCs w:val="20"/>
          <w:color w:val="222222"/>
        </w:rPr>
        <w:t xml:space="preserve"> </w:t>
      </w:r>
      <w:r>
        <w:rPr>
          <w:rFonts w:ascii="Arial" w:cs="Arial" w:eastAsia="Arial" w:hAnsi="Arial"/>
          <w:sz w:val="20"/>
          <w:szCs w:val="20"/>
          <w:color w:val="000000"/>
        </w:rPr>
        <w:t xml:space="preserve">excluding Greco and adjusted CSW excluding Greco, </w:t>
      </w:r>
      <w:r>
        <w:rPr>
          <w:rFonts w:ascii="Arial" w:cs="Arial" w:eastAsia="Arial" w:hAnsi="Arial"/>
          <w:sz w:val="20"/>
          <w:szCs w:val="20"/>
          <w:color w:val="222222"/>
        </w:rPr>
        <w:t>together with financial measures prepared in accordance with GAAP, such</w:t>
      </w:r>
      <w:r>
        <w:rPr>
          <w:rFonts w:ascii="Arial" w:cs="Arial" w:eastAsia="Arial" w:hAnsi="Arial"/>
          <w:sz w:val="20"/>
          <w:szCs w:val="20"/>
          <w:color w:val="000000"/>
        </w:rPr>
        <w:t xml:space="preserve"> </w:t>
      </w:r>
      <w:r>
        <w:rPr>
          <w:rFonts w:ascii="Arial" w:cs="Arial" w:eastAsia="Arial" w:hAnsi="Arial"/>
          <w:sz w:val="20"/>
          <w:szCs w:val="20"/>
          <w:color w:val="222222"/>
        </w:rPr>
        <w:t>as revenue, cost of revenue, operating expense, operating income, net income attributable to CSW and operating cash flows, to assess our historical and prospective operating performance and to enhance our understanding of our core operating performance. Free cash flow is a non-GAAP financial measure and is defined as cash flow from operations less capital expenditures. We believe these measures are useful for investors to assess the operating performance of our business without the effect of non-recurring items. In the following tables, there could be immaterial differences in amounts presented due to rounding.</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Net Income Attributable to CSW to Adjusted Net Income Attributable to CSW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680" w:type="dxa"/>
            <w:vAlign w:val="bottom"/>
            <w:gridSpan w:val="7"/>
          </w:tcPr>
          <w:p>
            <w:pPr>
              <w:ind w:left="100"/>
              <w:spacing w:after="0"/>
              <w:rPr>
                <w:sz w:val="20"/>
                <w:szCs w:val="20"/>
                <w:color w:val="auto"/>
              </w:rPr>
            </w:pPr>
            <w:r>
              <w:rPr>
                <w:rFonts w:ascii="Arial" w:cs="Arial" w:eastAsia="Arial" w:hAnsi="Arial"/>
                <w:sz w:val="18"/>
                <w:szCs w:val="18"/>
                <w:b w:val="1"/>
                <w:bCs w:val="1"/>
                <w:color w:val="auto"/>
              </w:rPr>
              <w:t>Three Months Ended March</w:t>
            </w:r>
          </w:p>
        </w:tc>
        <w:tc>
          <w:tcPr>
            <w:tcW w:w="260" w:type="dxa"/>
            <w:vAlign w:val="bottom"/>
          </w:tcPr>
          <w:p>
            <w:pPr>
              <w:spacing w:after="0"/>
              <w:rPr>
                <w:sz w:val="18"/>
                <w:szCs w:val="18"/>
                <w:color w:val="auto"/>
              </w:rPr>
            </w:pPr>
          </w:p>
        </w:tc>
        <w:tc>
          <w:tcPr>
            <w:tcW w:w="23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Year Ended</w:t>
            </w:r>
          </w:p>
        </w:tc>
      </w:tr>
      <w:tr>
        <w:trPr>
          <w:trHeight w:val="255"/>
        </w:trPr>
        <w:tc>
          <w:tcPr>
            <w:tcW w:w="594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87"/>
              </w:rPr>
              <w:t>31,</w:t>
            </w: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860" w:type="dxa"/>
            <w:vAlign w:val="bottom"/>
            <w:tcBorders>
              <w:bottom w:val="single" w:sz="8" w:color="auto"/>
            </w:tcBorders>
          </w:tcPr>
          <w:p>
            <w:pPr>
              <w:spacing w:after="0"/>
              <w:rPr>
                <w:sz w:val="22"/>
                <w:szCs w:val="22"/>
                <w:color w:val="auto"/>
              </w:rPr>
            </w:pPr>
          </w:p>
        </w:tc>
      </w:tr>
      <w:tr>
        <w:trPr>
          <w:trHeight w:val="263"/>
        </w:trPr>
        <w:tc>
          <w:tcPr>
            <w:tcW w:w="5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2025</w:t>
            </w:r>
          </w:p>
        </w:tc>
      </w:tr>
      <w:tr>
        <w:trPr>
          <w:trHeight w:val="247"/>
        </w:trPr>
        <w:tc>
          <w:tcPr>
            <w:tcW w:w="5940" w:type="dxa"/>
            <w:vAlign w:val="bottom"/>
          </w:tcPr>
          <w:p>
            <w:pPr>
              <w:spacing w:after="0"/>
              <w:rPr>
                <w:sz w:val="20"/>
                <w:szCs w:val="20"/>
                <w:color w:val="auto"/>
              </w:rPr>
            </w:pPr>
            <w:r>
              <w:rPr>
                <w:rFonts w:ascii="Arial" w:cs="Arial" w:eastAsia="Arial" w:hAnsi="Arial"/>
                <w:sz w:val="18"/>
                <w:szCs w:val="18"/>
                <w:color w:val="auto"/>
              </w:rPr>
              <w:t>Net income attributable to CSW</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20,202</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35,061</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112,045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136,652</w:t>
            </w:r>
          </w:p>
        </w:tc>
      </w:tr>
      <w:tr>
        <w:trPr>
          <w:trHeight w:val="527"/>
        </w:trPr>
        <w:tc>
          <w:tcPr>
            <w:tcW w:w="5940" w:type="dxa"/>
            <w:vAlign w:val="bottom"/>
          </w:tcPr>
          <w:p>
            <w:pPr>
              <w:spacing w:after="0"/>
              <w:rPr>
                <w:sz w:val="20"/>
                <w:szCs w:val="20"/>
                <w:color w:val="auto"/>
              </w:rPr>
            </w:pPr>
            <w:r>
              <w:rPr>
                <w:rFonts w:ascii="Arial" w:cs="Arial" w:eastAsia="Arial" w:hAnsi="Arial"/>
                <w:sz w:val="18"/>
                <w:szCs w:val="18"/>
                <w:color w:val="auto"/>
              </w:rPr>
              <w:t>Adjusting items: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7"/>
        </w:trPr>
        <w:tc>
          <w:tcPr>
            <w:tcW w:w="5940" w:type="dxa"/>
            <w:vAlign w:val="bottom"/>
          </w:tcPr>
          <w:p>
            <w:pPr>
              <w:ind w:left="220"/>
              <w:spacing w:after="0"/>
              <w:rPr>
                <w:sz w:val="20"/>
                <w:szCs w:val="20"/>
                <w:color w:val="auto"/>
              </w:rPr>
            </w:pPr>
            <w:r>
              <w:rPr>
                <w:rFonts w:ascii="Arial" w:cs="Arial" w:eastAsia="Arial" w:hAnsi="Arial"/>
                <w:sz w:val="18"/>
                <w:szCs w:val="18"/>
                <w:color w:val="auto"/>
              </w:rPr>
              <w:t>Amortization of acquisition-related intangible assets and inventory</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39"/>
        </w:trPr>
        <w:tc>
          <w:tcPr>
            <w:tcW w:w="5940" w:type="dxa"/>
            <w:vAlign w:val="bottom"/>
          </w:tcPr>
          <w:p>
            <w:pPr>
              <w:ind w:left="220"/>
              <w:spacing w:after="0"/>
              <w:rPr>
                <w:sz w:val="20"/>
                <w:szCs w:val="20"/>
                <w:color w:val="auto"/>
              </w:rPr>
            </w:pPr>
            <w:r>
              <w:rPr>
                <w:rFonts w:ascii="Arial" w:cs="Arial" w:eastAsia="Arial" w:hAnsi="Arial"/>
                <w:sz w:val="18"/>
                <w:szCs w:val="18"/>
                <w:color w:val="auto"/>
              </w:rPr>
              <w:t>step-up</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16,198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51,173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28,014</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Amortization tax effect</w:t>
            </w:r>
          </w:p>
        </w:tc>
        <w:tc>
          <w:tcPr>
            <w:tcW w:w="2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(12,727)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(6,866)</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2,679</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Nonrecurring inventory write down,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2,361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Greco Canada exit related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1,575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Nonrecurring restructuring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Greco impairment expenses,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13,617</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Uncertain tax position accrual release</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(2,691)</w:t>
            </w:r>
          </w:p>
        </w:tc>
      </w:tr>
      <w:tr>
        <w:trPr>
          <w:trHeight w:val="270"/>
        </w:trPr>
        <w:tc>
          <w:tcPr>
            <w:tcW w:w="594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net of tax effect</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1,573</w:t>
            </w:r>
          </w:p>
        </w:tc>
      </w:tr>
      <w:tr>
        <w:trPr>
          <w:trHeight w:val="23"/>
        </w:trPr>
        <w:tc>
          <w:tcPr>
            <w:tcW w:w="5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940" w:type="dxa"/>
            <w:vAlign w:val="bottom"/>
          </w:tcPr>
          <w:p>
            <w:pPr>
              <w:spacing w:after="0"/>
              <w:rPr>
                <w:sz w:val="20"/>
                <w:szCs w:val="20"/>
                <w:color w:val="auto"/>
              </w:rPr>
            </w:pPr>
            <w:r>
              <w:rPr>
                <w:rFonts w:ascii="Arial" w:cs="Arial" w:eastAsia="Arial" w:hAnsi="Arial"/>
                <w:sz w:val="18"/>
                <w:szCs w:val="18"/>
                <w:color w:val="auto"/>
              </w:rPr>
              <w:t>Adjusted net income attributable to CSW</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51,752</w:t>
            </w:r>
          </w:p>
        </w:tc>
        <w:tc>
          <w:tcPr>
            <w:tcW w:w="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43,666</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173,510</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158,398</w:t>
            </w:r>
          </w:p>
        </w:tc>
      </w:tr>
      <w:tr>
        <w:trPr>
          <w:trHeight w:val="20"/>
        </w:trPr>
        <w:tc>
          <w:tcPr>
            <w:tcW w:w="5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620"/>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40" w:right="339" w:bottom="1440" w:gutter="0" w:footer="0" w:header="0"/>
        </w:sectPr>
      </w:pPr>
    </w:p>
    <w:bookmarkStart w:id="15" w:name="page16"/>
    <w:bookmarkEnd w:id="15"/>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r>
              <w:rPr>
                <w:rFonts w:ascii="Arial" w:cs="Arial" w:eastAsia="Arial" w:hAnsi="Arial"/>
                <w:sz w:val="18"/>
                <w:szCs w:val="18"/>
                <w:color w:val="auto"/>
              </w:rPr>
              <w:t>Net Income Attributable to CSW per diluted common share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540"/>
        </w:trPr>
        <w:tc>
          <w:tcPr>
            <w:tcW w:w="5960" w:type="dxa"/>
            <w:vAlign w:val="bottom"/>
          </w:tcPr>
          <w:p>
            <w:pPr>
              <w:spacing w:after="0"/>
              <w:rPr>
                <w:sz w:val="20"/>
                <w:szCs w:val="20"/>
                <w:color w:val="auto"/>
              </w:rPr>
            </w:pPr>
            <w:r>
              <w:rPr>
                <w:rFonts w:ascii="Arial" w:cs="Arial" w:eastAsia="Arial" w:hAnsi="Arial"/>
                <w:sz w:val="18"/>
                <w:szCs w:val="18"/>
                <w:color w:val="auto"/>
              </w:rPr>
              <w:t>Adjusting Items, per dilutive common share:</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47"/>
        </w:trPr>
        <w:tc>
          <w:tcPr>
            <w:tcW w:w="5960" w:type="dxa"/>
            <w:vAlign w:val="bottom"/>
          </w:tcPr>
          <w:p>
            <w:pPr>
              <w:ind w:left="220"/>
              <w:spacing w:after="0"/>
              <w:rPr>
                <w:sz w:val="20"/>
                <w:szCs w:val="20"/>
                <w:color w:val="auto"/>
              </w:rPr>
            </w:pPr>
            <w:r>
              <w:rPr>
                <w:rFonts w:ascii="Arial" w:cs="Arial" w:eastAsia="Arial" w:hAnsi="Arial"/>
                <w:sz w:val="18"/>
                <w:szCs w:val="18"/>
                <w:color w:val="auto"/>
              </w:rPr>
              <w:t>Amortization of acquisition-related intangible assets and inventory</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9"/>
        </w:trPr>
        <w:tc>
          <w:tcPr>
            <w:tcW w:w="5960" w:type="dxa"/>
            <w:vAlign w:val="bottom"/>
          </w:tcPr>
          <w:p>
            <w:pPr>
              <w:ind w:left="220"/>
              <w:spacing w:after="0"/>
              <w:rPr>
                <w:sz w:val="20"/>
                <w:szCs w:val="20"/>
                <w:color w:val="auto"/>
              </w:rPr>
            </w:pPr>
            <w:r>
              <w:rPr>
                <w:rFonts w:ascii="Arial" w:cs="Arial" w:eastAsia="Arial" w:hAnsi="Arial"/>
                <w:sz w:val="18"/>
                <w:szCs w:val="18"/>
                <w:color w:val="auto"/>
              </w:rPr>
              <w:t>step-up</w:t>
            </w: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Amortization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(0.76)</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Nonrecurring inventory write down,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Greco Canada exit related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Nonrecurring restructuring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Greco impairment expenses, net of tax effect</w:t>
            </w: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Uncertain tax position accrual release</w:t>
            </w:r>
          </w:p>
        </w:tc>
        <w:tc>
          <w:tcPr>
            <w:tcW w:w="44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(0.16)</w:t>
            </w:r>
          </w:p>
        </w:tc>
      </w:tr>
      <w:tr>
        <w:trPr>
          <w:trHeight w:val="270"/>
        </w:trPr>
        <w:tc>
          <w:tcPr>
            <w:tcW w:w="596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net of tax effect</w:t>
            </w:r>
          </w:p>
        </w:tc>
        <w:tc>
          <w:tcPr>
            <w:tcW w:w="44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3"/>
        </w:trPr>
        <w:tc>
          <w:tcPr>
            <w:tcW w:w="5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3"/>
        </w:trPr>
        <w:tc>
          <w:tcPr>
            <w:tcW w:w="5960" w:type="dxa"/>
            <w:vAlign w:val="bottom"/>
          </w:tcPr>
          <w:p>
            <w:pPr>
              <w:spacing w:after="0"/>
              <w:rPr>
                <w:sz w:val="20"/>
                <w:szCs w:val="20"/>
                <w:color w:val="auto"/>
              </w:rPr>
            </w:pPr>
            <w:r>
              <w:rPr>
                <w:rFonts w:ascii="Arial" w:cs="Arial" w:eastAsia="Arial" w:hAnsi="Arial"/>
                <w:sz w:val="18"/>
                <w:szCs w:val="18"/>
                <w:color w:val="auto"/>
              </w:rPr>
              <w:t>Adjusted net income attributable to CSW per dilutive common share</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w:t>
            </w:r>
          </w:p>
        </w:tc>
      </w:tr>
      <w:tr>
        <w:trPr>
          <w:trHeight w:val="21"/>
        </w:trPr>
        <w:tc>
          <w:tcPr>
            <w:tcW w:w="5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40" w:top="1440" w:right="339" w:bottom="1440" w:gutter="0" w:footer="0" w:header="0"/>
        </w:sectPr>
      </w:pPr>
    </w:p>
    <w:bookmarkStart w:id="16" w:name="page17"/>
    <w:bookmarkEnd w:id="16"/>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Effective Tax Rate to Adjusted Effective Tax Rate</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880" w:type="dxa"/>
            <w:vAlign w:val="bottom"/>
          </w:tcPr>
          <w:p>
            <w:pPr>
              <w:spacing w:after="0"/>
              <w:rPr>
                <w:sz w:val="20"/>
                <w:szCs w:val="20"/>
                <w:color w:val="auto"/>
              </w:rPr>
            </w:pPr>
            <w:r>
              <w:rPr>
                <w:rFonts w:ascii="Arial" w:cs="Arial" w:eastAsia="Arial" w:hAnsi="Arial"/>
                <w:sz w:val="16"/>
                <w:szCs w:val="16"/>
                <w:color w:val="auto"/>
              </w:rPr>
              <w:t>(Amounts in thousands)</w:t>
            </w:r>
          </w:p>
        </w:tc>
        <w:tc>
          <w:tcPr>
            <w:tcW w:w="160" w:type="dxa"/>
            <w:vAlign w:val="bottom"/>
          </w:tcPr>
          <w:p>
            <w:pPr>
              <w:spacing w:after="0"/>
              <w:rPr>
                <w:sz w:val="22"/>
                <w:szCs w:val="22"/>
                <w:color w:val="auto"/>
              </w:rPr>
            </w:pPr>
          </w:p>
        </w:tc>
        <w:tc>
          <w:tcPr>
            <w:tcW w:w="3060" w:type="dxa"/>
            <w:vAlign w:val="bottom"/>
            <w:gridSpan w:val="5"/>
          </w:tcPr>
          <w:p>
            <w:pPr>
              <w:ind w:left="6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Pr>
          <w:p>
            <w:pPr>
              <w:spacing w:after="0"/>
              <w:rPr>
                <w:sz w:val="22"/>
                <w:szCs w:val="22"/>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88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2026</w:t>
            </w: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2025</w:t>
            </w:r>
          </w:p>
        </w:tc>
        <w:tc>
          <w:tcPr>
            <w:tcW w:w="0" w:type="dxa"/>
            <w:vAlign w:val="bottom"/>
          </w:tcPr>
          <w:p>
            <w:pPr>
              <w:spacing w:after="0"/>
              <w:rPr>
                <w:sz w:val="1"/>
                <w:szCs w:val="1"/>
                <w:color w:val="auto"/>
              </w:rPr>
            </w:pPr>
          </w:p>
        </w:tc>
      </w:tr>
      <w:tr>
        <w:trPr>
          <w:trHeight w:val="247"/>
        </w:trPr>
        <w:tc>
          <w:tcPr>
            <w:tcW w:w="4880" w:type="dxa"/>
            <w:vAlign w:val="bottom"/>
          </w:tcPr>
          <w:p>
            <w:pPr>
              <w:spacing w:after="0"/>
              <w:rPr>
                <w:sz w:val="20"/>
                <w:szCs w:val="20"/>
                <w:color w:val="auto"/>
              </w:rPr>
            </w:pPr>
            <w:r>
              <w:rPr>
                <w:rFonts w:ascii="Arial" w:cs="Arial" w:eastAsia="Arial" w:hAnsi="Arial"/>
                <w:sz w:val="18"/>
                <w:szCs w:val="18"/>
                <w:color w:val="auto"/>
              </w:rPr>
              <w:t>GAAP income before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27,804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46,513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145,553</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180,117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Adjusting items: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7,664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15,627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15,627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liability</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Reversal of tax indemnification receivable</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
        </w:trPr>
        <w:tc>
          <w:tcPr>
            <w:tcW w:w="4880" w:type="dxa"/>
            <w:vAlign w:val="bottom"/>
            <w:vMerge w:val="restart"/>
          </w:tcPr>
          <w:p>
            <w:pPr>
              <w:spacing w:after="0"/>
              <w:rPr>
                <w:sz w:val="20"/>
                <w:szCs w:val="20"/>
                <w:color w:val="auto"/>
              </w:rPr>
            </w:pPr>
            <w:r>
              <w:rPr>
                <w:rFonts w:ascii="Arial" w:cs="Arial" w:eastAsia="Arial" w:hAnsi="Arial"/>
                <w:sz w:val="18"/>
                <w:szCs w:val="18"/>
                <w:color w:val="auto"/>
              </w:rPr>
              <w:t>Adjusted income before tax</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488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50,857</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50,046</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180,322</w:t>
            </w:r>
          </w:p>
        </w:tc>
        <w:tc>
          <w:tcPr>
            <w:tcW w:w="12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185,369</w:t>
            </w:r>
          </w:p>
        </w:tc>
        <w:tc>
          <w:tcPr>
            <w:tcW w:w="0" w:type="dxa"/>
            <w:vAlign w:val="bottom"/>
          </w:tcPr>
          <w:p>
            <w:pPr>
              <w:spacing w:after="0"/>
              <w:rPr>
                <w:sz w:val="1"/>
                <w:szCs w:val="1"/>
                <w:color w:val="auto"/>
              </w:rPr>
            </w:pPr>
          </w:p>
        </w:tc>
      </w:tr>
      <w:tr>
        <w:trPr>
          <w:trHeight w:val="540"/>
        </w:trPr>
        <w:tc>
          <w:tcPr>
            <w:tcW w:w="4880" w:type="dxa"/>
            <w:vAlign w:val="bottom"/>
          </w:tcPr>
          <w:p>
            <w:pPr>
              <w:spacing w:after="0"/>
              <w:rPr>
                <w:sz w:val="20"/>
                <w:szCs w:val="20"/>
                <w:color w:val="auto"/>
              </w:rPr>
            </w:pPr>
            <w:r>
              <w:rPr>
                <w:rFonts w:ascii="Arial" w:cs="Arial" w:eastAsia="Arial" w:hAnsi="Arial"/>
                <w:sz w:val="18"/>
                <w:szCs w:val="18"/>
                <w:color w:val="auto"/>
              </w:rPr>
              <w:t>GAAP provision for income tax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7,539</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32,706</w:t>
            </w:r>
          </w:p>
        </w:tc>
        <w:tc>
          <w:tcPr>
            <w:tcW w:w="12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42,633</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Adjusting items:</w:t>
            </w: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acquisition-related integration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1,891</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nonrecurring inventory write down</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acquisition-related transaction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nonrecurring restructuring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Greco Canada Exit related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Greco impairment expenses</w:t>
            </w: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fair value change in contingent</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220"/>
              <w:spacing w:after="0"/>
              <w:rPr>
                <w:sz w:val="20"/>
                <w:szCs w:val="20"/>
                <w:color w:val="auto"/>
              </w:rPr>
            </w:pPr>
            <w:r>
              <w:rPr>
                <w:rFonts w:ascii="Arial" w:cs="Arial" w:eastAsia="Arial" w:hAnsi="Arial"/>
                <w:sz w:val="18"/>
                <w:szCs w:val="18"/>
                <w:color w:val="auto"/>
              </w:rPr>
              <w:t>consideration liability</w:t>
            </w:r>
          </w:p>
        </w:tc>
        <w:tc>
          <w:tcPr>
            <w:tcW w:w="16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Tax effect of reversal of tax indemnification receivable</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70"/>
        </w:trPr>
        <w:tc>
          <w:tcPr>
            <w:tcW w:w="4880" w:type="dxa"/>
            <w:vAlign w:val="bottom"/>
          </w:tcPr>
          <w:p>
            <w:pPr>
              <w:ind w:left="220"/>
              <w:spacing w:after="0"/>
              <w:rPr>
                <w:sz w:val="20"/>
                <w:szCs w:val="20"/>
                <w:color w:val="auto"/>
              </w:rPr>
            </w:pPr>
            <w:r>
              <w:rPr>
                <w:rFonts w:ascii="Arial" w:cs="Arial" w:eastAsia="Arial" w:hAnsi="Arial"/>
                <w:sz w:val="18"/>
                <w:szCs w:val="18"/>
                <w:color w:val="auto"/>
              </w:rPr>
              <w:t>Uncertain tax position accrual release</w:t>
            </w:r>
          </w:p>
        </w:tc>
        <w:tc>
          <w:tcPr>
            <w:tcW w:w="16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3"/>
        </w:trPr>
        <w:tc>
          <w:tcPr>
            <w:tcW w:w="48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880" w:type="dxa"/>
            <w:vAlign w:val="bottom"/>
          </w:tcPr>
          <w:p>
            <w:pPr>
              <w:spacing w:after="0"/>
              <w:rPr>
                <w:sz w:val="20"/>
                <w:szCs w:val="20"/>
                <w:color w:val="auto"/>
              </w:rPr>
            </w:pPr>
            <w:r>
              <w:rPr>
                <w:rFonts w:ascii="Arial" w:cs="Arial" w:eastAsia="Arial" w:hAnsi="Arial"/>
                <w:sz w:val="18"/>
                <w:szCs w:val="18"/>
                <w:color w:val="auto"/>
              </w:rPr>
              <w:t>Adjusted provision for income tax</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11,165</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44,456</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47,287</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1"/>
        </w:trPr>
        <w:tc>
          <w:tcPr>
            <w:tcW w:w="4880" w:type="dxa"/>
            <w:vAlign w:val="bottom"/>
          </w:tcPr>
          <w:p>
            <w:pPr>
              <w:spacing w:after="0"/>
              <w:rPr>
                <w:sz w:val="20"/>
                <w:szCs w:val="20"/>
                <w:color w:val="auto"/>
              </w:rPr>
            </w:pPr>
            <w:r>
              <w:rPr>
                <w:rFonts w:ascii="Arial" w:cs="Arial" w:eastAsia="Arial" w:hAnsi="Arial"/>
                <w:sz w:val="18"/>
                <w:szCs w:val="18"/>
                <w:color w:val="auto"/>
              </w:rPr>
              <w:t>GAAP effective tax rate</w:t>
            </w:r>
          </w:p>
        </w:tc>
        <w:tc>
          <w:tcPr>
            <w:tcW w:w="1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24.6%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22.5%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center"/>
              <w:ind w:right="390"/>
              <w:spacing w:after="0"/>
              <w:rPr>
                <w:sz w:val="20"/>
                <w:szCs w:val="20"/>
                <w:color w:val="auto"/>
              </w:rPr>
            </w:pPr>
            <w:r>
              <w:rPr>
                <w:rFonts w:ascii="Arial" w:cs="Arial" w:eastAsia="Arial" w:hAnsi="Arial"/>
                <w:sz w:val="18"/>
                <w:szCs w:val="18"/>
                <w:color w:val="auto"/>
                <w:w w:val="97"/>
              </w:rPr>
              <w:t>23.7%</w:t>
            </w:r>
          </w:p>
        </w:tc>
        <w:tc>
          <w:tcPr>
            <w:tcW w:w="0" w:type="dxa"/>
            <w:vAlign w:val="bottom"/>
          </w:tcPr>
          <w:p>
            <w:pPr>
              <w:spacing w:after="0"/>
              <w:rPr>
                <w:sz w:val="1"/>
                <w:szCs w:val="1"/>
                <w:color w:val="auto"/>
              </w:rPr>
            </w:pP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Adjusted effective tax rate</w:t>
            </w:r>
          </w:p>
        </w:tc>
        <w:tc>
          <w:tcPr>
            <w:tcW w:w="160" w:type="dxa"/>
            <w:vAlign w:val="bottom"/>
          </w:tcPr>
          <w:p>
            <w:pPr>
              <w:spacing w:after="0"/>
              <w:rPr>
                <w:sz w:val="23"/>
                <w:szCs w:val="23"/>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jc w:val="center"/>
              <w:ind w:right="210"/>
              <w:spacing w:after="0"/>
              <w:rPr>
                <w:sz w:val="20"/>
                <w:szCs w:val="20"/>
                <w:color w:val="auto"/>
              </w:rPr>
            </w:pPr>
            <w:r>
              <w:rPr>
                <w:rFonts w:ascii="Arial" w:cs="Arial" w:eastAsia="Arial" w:hAnsi="Arial"/>
                <w:sz w:val="18"/>
                <w:szCs w:val="18"/>
                <w:color w:val="auto"/>
                <w:w w:val="97"/>
              </w:rPr>
              <w:t>24.7%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center"/>
              <w:ind w:right="390"/>
              <w:spacing w:after="0"/>
              <w:rPr>
                <w:sz w:val="20"/>
                <w:szCs w:val="20"/>
                <w:color w:val="auto"/>
              </w:rPr>
            </w:pPr>
            <w:r>
              <w:rPr>
                <w:rFonts w:ascii="Arial" w:cs="Arial" w:eastAsia="Arial" w:hAnsi="Arial"/>
                <w:sz w:val="18"/>
                <w:szCs w:val="18"/>
                <w:color w:val="auto"/>
                <w:w w:val="97"/>
              </w:rPr>
              <w:t>25.5%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440" w:right="339" w:bottom="1440" w:gutter="0" w:footer="0" w:header="0"/>
        </w:sectPr>
      </w:pPr>
    </w:p>
    <w:bookmarkStart w:id="17" w:name="page18"/>
    <w:bookmarkEnd w:id="17"/>
    <w:p>
      <w:pPr>
        <w:spacing w:after="0" w:line="2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Reconciliation of Contractor Solutions Segment Reported Revenue to Revenue Calculated to Include Pre-Acquisition</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Revenue Effect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3360" w:type="dxa"/>
            <w:vAlign w:val="bottom"/>
            <w:gridSpan w:val="2"/>
          </w:tcPr>
          <w:p>
            <w:pPr>
              <w:jc w:val="right"/>
              <w:ind w:right="2100"/>
              <w:spacing w:after="0"/>
              <w:rPr>
                <w:sz w:val="20"/>
                <w:szCs w:val="20"/>
                <w:color w:val="auto"/>
              </w:rPr>
            </w:pPr>
            <w:r>
              <w:rPr>
                <w:rFonts w:ascii="Arial" w:cs="Arial" w:eastAsia="Arial" w:hAnsi="Arial"/>
                <w:sz w:val="18"/>
                <w:szCs w:val="18"/>
                <w:color w:val="auto"/>
              </w:rPr>
              <w:t>(unaudited)</w:t>
            </w: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94"/>
        </w:trPr>
        <w:tc>
          <w:tcPr>
            <w:tcW w:w="4800" w:type="dxa"/>
            <w:vAlign w:val="bottom"/>
          </w:tcPr>
          <w:p>
            <w:pPr>
              <w:spacing w:after="0"/>
              <w:rPr>
                <w:sz w:val="20"/>
                <w:szCs w:val="20"/>
                <w:color w:val="auto"/>
              </w:rPr>
            </w:pPr>
            <w:r>
              <w:rPr>
                <w:rFonts w:ascii="Arial" w:cs="Arial" w:eastAsia="Arial" w:hAnsi="Arial"/>
                <w:sz w:val="16"/>
                <w:szCs w:val="16"/>
                <w:color w:val="auto"/>
              </w:rPr>
              <w:t>(Amounts in thousands)</w:t>
            </w:r>
          </w:p>
        </w:tc>
        <w:tc>
          <w:tcPr>
            <w:tcW w:w="3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 March 31,</w:t>
            </w:r>
          </w:p>
        </w:tc>
      </w:tr>
      <w:tr>
        <w:trPr>
          <w:trHeight w:val="263"/>
        </w:trPr>
        <w:tc>
          <w:tcPr>
            <w:tcW w:w="480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r>
      <w:tr>
        <w:trPr>
          <w:trHeight w:val="247"/>
        </w:trPr>
        <w:tc>
          <w:tcPr>
            <w:tcW w:w="4800" w:type="dxa"/>
            <w:vAlign w:val="bottom"/>
          </w:tcPr>
          <w:p>
            <w:pPr>
              <w:spacing w:after="0"/>
              <w:rPr>
                <w:sz w:val="20"/>
                <w:szCs w:val="20"/>
                <w:color w:val="auto"/>
              </w:rPr>
            </w:pPr>
            <w:r>
              <w:rPr>
                <w:rFonts w:ascii="Arial" w:cs="Arial" w:eastAsia="Arial" w:hAnsi="Arial"/>
                <w:sz w:val="18"/>
                <w:szCs w:val="18"/>
                <w:color w:val="auto"/>
              </w:rPr>
              <w:t>Contractor Solutions Segment Reported Revenue, Net</w:t>
            </w:r>
          </w:p>
        </w:tc>
        <w:tc>
          <w:tcPr>
            <w:tcW w:w="3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237,110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165,929</w:t>
            </w:r>
          </w:p>
        </w:tc>
      </w:tr>
      <w:tr>
        <w:trPr>
          <w:trHeight w:val="378"/>
        </w:trPr>
        <w:tc>
          <w:tcPr>
            <w:tcW w:w="4800" w:type="dxa"/>
            <w:vAlign w:val="bottom"/>
          </w:tcPr>
          <w:p>
            <w:pPr>
              <w:spacing w:after="0"/>
              <w:rPr>
                <w:sz w:val="20"/>
                <w:szCs w:val="20"/>
                <w:color w:val="auto"/>
              </w:rPr>
            </w:pPr>
            <w:r>
              <w:rPr>
                <w:rFonts w:ascii="Arial" w:cs="Arial" w:eastAsia="Arial" w:hAnsi="Arial"/>
                <w:sz w:val="18"/>
                <w:szCs w:val="18"/>
                <w:color w:val="auto"/>
              </w:rPr>
              <w:t>Adjusting Items:</w:t>
            </w:r>
          </w:p>
        </w:tc>
        <w:tc>
          <w:tcPr>
            <w:tcW w:w="3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Pre-acquisition revenue effect for recent acquisitions (a)</w:t>
            </w:r>
          </w:p>
        </w:tc>
        <w:tc>
          <w:tcPr>
            <w:tcW w:w="3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58,797</w:t>
            </w:r>
          </w:p>
        </w:tc>
      </w:tr>
      <w:tr>
        <w:trPr>
          <w:trHeight w:val="23"/>
        </w:trPr>
        <w:tc>
          <w:tcPr>
            <w:tcW w:w="4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1"/>
        </w:trPr>
        <w:tc>
          <w:tcPr>
            <w:tcW w:w="4800" w:type="dxa"/>
            <w:vAlign w:val="bottom"/>
          </w:tcPr>
          <w:p>
            <w:pPr>
              <w:spacing w:after="0"/>
              <w:rPr>
                <w:sz w:val="20"/>
                <w:szCs w:val="20"/>
                <w:color w:val="auto"/>
              </w:rPr>
            </w:pPr>
          </w:p>
        </w:tc>
        <w:tc>
          <w:tcPr>
            <w:tcW w:w="3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237,110</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224,726</w:t>
            </w:r>
          </w:p>
        </w:tc>
      </w:tr>
      <w:tr>
        <w:trPr>
          <w:trHeight w:val="23"/>
        </w:trPr>
        <w:tc>
          <w:tcPr>
            <w:tcW w:w="480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jc w:val="both"/>
        <w:ind w:firstLine="6"/>
        <w:spacing w:after="0" w:line="297" w:lineRule="auto"/>
        <w:tabs>
          <w:tab w:leader="none" w:pos="217" w:val="left"/>
        </w:tabs>
        <w:numPr>
          <w:ilvl w:val="0"/>
          <w:numId w:val="4"/>
        </w:numPr>
        <w:rPr>
          <w:rFonts w:ascii="Arial" w:cs="Arial" w:eastAsia="Arial" w:hAnsi="Arial"/>
          <w:sz w:val="14"/>
          <w:szCs w:val="14"/>
          <w:color w:val="auto"/>
        </w:rPr>
      </w:pPr>
      <w:r>
        <w:rPr>
          <w:rFonts w:ascii="Arial" w:cs="Arial" w:eastAsia="Arial" w:hAnsi="Arial"/>
          <w:sz w:val="14"/>
          <w:szCs w:val="14"/>
          <w:color w:val="auto"/>
        </w:rPr>
        <w:t>Revenue effect from MARS Parts and Aspen Manufacturing acquisitions as if the acquisitions had been owned by CSW during the same months in the quarter ended March 31, 2025. This calculation is provided to allow investors to understand our organic growth, including pre-acquisition revenue effect from recent acquisitions, on a comparable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00"/>
          </w:cols>
          <w:pgMar w:left="340" w:top="1440" w:right="359" w:bottom="1440" w:gutter="0" w:footer="0" w:header="0"/>
        </w:sectPr>
      </w:pPr>
    </w:p>
    <w:bookmarkStart w:id="18" w:name="page19"/>
    <w:bookmarkEnd w:id="18"/>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Net Income Attributable to CSW to Adjusted EBITDA</w:t>
      </w:r>
    </w:p>
    <w:p>
      <w:pPr>
        <w:spacing w:after="0" w:line="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w:cs="Arial" w:eastAsia="Arial" w:hAnsi="Arial"/>
                <w:sz w:val="16"/>
                <w:szCs w:val="16"/>
                <w:color w:val="auto"/>
              </w:rPr>
              <w:t>(Amounts in thousands)</w:t>
            </w:r>
          </w:p>
        </w:tc>
        <w:tc>
          <w:tcPr>
            <w:tcW w:w="120" w:type="dxa"/>
            <w:vAlign w:val="bottom"/>
          </w:tcPr>
          <w:p>
            <w:pPr>
              <w:spacing w:after="0"/>
              <w:rPr>
                <w:sz w:val="22"/>
                <w:szCs w:val="22"/>
                <w:color w:val="auto"/>
              </w:rPr>
            </w:pPr>
          </w:p>
        </w:tc>
        <w:tc>
          <w:tcPr>
            <w:tcW w:w="29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7"/>
        </w:trPr>
        <w:tc>
          <w:tcPr>
            <w:tcW w:w="5180" w:type="dxa"/>
            <w:vAlign w:val="bottom"/>
          </w:tcPr>
          <w:p>
            <w:pPr>
              <w:spacing w:after="0"/>
              <w:rPr>
                <w:sz w:val="20"/>
                <w:szCs w:val="20"/>
                <w:color w:val="auto"/>
              </w:rPr>
            </w:pPr>
            <w:r>
              <w:rPr>
                <w:rFonts w:ascii="Arial" w:cs="Arial" w:eastAsia="Arial" w:hAnsi="Arial"/>
                <w:sz w:val="18"/>
                <w:szCs w:val="18"/>
                <w:color w:val="auto"/>
              </w:rPr>
              <w:t>Net Income attributable to CSW</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20,202</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35,061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112,045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136,652</w:t>
            </w:r>
          </w:p>
        </w:tc>
        <w:tc>
          <w:tcPr>
            <w:tcW w:w="0" w:type="dxa"/>
            <w:vAlign w:val="bottom"/>
          </w:tcPr>
          <w:p>
            <w:pPr>
              <w:spacing w:after="0"/>
              <w:rPr>
                <w:sz w:val="1"/>
                <w:szCs w:val="1"/>
                <w:color w:val="auto"/>
              </w:rPr>
            </w:pPr>
          </w:p>
        </w:tc>
      </w:tr>
      <w:tr>
        <w:trPr>
          <w:trHeight w:val="270"/>
        </w:trPr>
        <w:tc>
          <w:tcPr>
            <w:tcW w:w="5180" w:type="dxa"/>
            <w:vAlign w:val="bottom"/>
          </w:tcPr>
          <w:p>
            <w:pPr>
              <w:spacing w:after="0"/>
              <w:rPr>
                <w:sz w:val="20"/>
                <w:szCs w:val="20"/>
                <w:color w:val="auto"/>
              </w:rPr>
            </w:pPr>
            <w:r>
              <w:rPr>
                <w:rFonts w:ascii="Arial" w:cs="Arial" w:eastAsia="Arial" w:hAnsi="Arial"/>
                <w:sz w:val="18"/>
                <w:szCs w:val="18"/>
                <w:color w:val="auto"/>
              </w:rPr>
              <w:t>Plus: Income attributable to redeemable noncontrolling interest</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20,265</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35,054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112,846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137,484</w:t>
            </w:r>
          </w:p>
        </w:tc>
        <w:tc>
          <w:tcPr>
            <w:tcW w:w="0" w:type="dxa"/>
            <w:vAlign w:val="bottom"/>
          </w:tcPr>
          <w:p>
            <w:pPr>
              <w:spacing w:after="0"/>
              <w:rPr>
                <w:sz w:val="1"/>
                <w:szCs w:val="1"/>
                <w:color w:val="auto"/>
              </w:rPr>
            </w:pPr>
          </w:p>
        </w:tc>
      </w:tr>
      <w:tr>
        <w:trPr>
          <w:trHeight w:val="540"/>
        </w:trPr>
        <w:tc>
          <w:tcPr>
            <w:tcW w:w="5180" w:type="dxa"/>
            <w:vAlign w:val="bottom"/>
          </w:tcPr>
          <w:p>
            <w:pPr>
              <w:spacing w:after="0"/>
              <w:rPr>
                <w:sz w:val="20"/>
                <w:szCs w:val="20"/>
                <w:color w:val="auto"/>
              </w:rPr>
            </w:pPr>
            <w:r>
              <w:rPr>
                <w:rFonts w:ascii="Arial" w:cs="Arial" w:eastAsia="Arial" w:hAnsi="Arial"/>
                <w:sz w:val="18"/>
                <w:szCs w:val="18"/>
                <w:color w:val="auto"/>
              </w:rPr>
              <w:t>Adjusting Items: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11,785</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22,245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7,539</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32,706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42,633</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Depreciation &amp; amortization</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20,284</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67,071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42,223</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impairment expense</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80" w:type="dxa"/>
            <w:vAlign w:val="bottom"/>
            <w:vMerge w:val="restart"/>
          </w:tcPr>
          <w:p>
            <w:pPr>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51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75,500</w:t>
            </w:r>
          </w:p>
        </w:tc>
        <w:tc>
          <w:tcPr>
            <w:tcW w:w="1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56,224</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250,496</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222,608</w:t>
            </w:r>
          </w:p>
        </w:tc>
        <w:tc>
          <w:tcPr>
            <w:tcW w:w="0" w:type="dxa"/>
            <w:vAlign w:val="bottom"/>
          </w:tcPr>
          <w:p>
            <w:pPr>
              <w:spacing w:after="0"/>
              <w:rPr>
                <w:sz w:val="1"/>
                <w:szCs w:val="1"/>
                <w:color w:val="auto"/>
              </w:rPr>
            </w:pPr>
          </w:p>
        </w:tc>
      </w:tr>
      <w:tr>
        <w:trPr>
          <w:trHeight w:val="540"/>
        </w:trPr>
        <w:tc>
          <w:tcPr>
            <w:tcW w:w="5180" w:type="dxa"/>
            <w:vAlign w:val="bottom"/>
          </w:tcPr>
          <w:p>
            <w:pPr>
              <w:spacing w:after="0"/>
              <w:rPr>
                <w:sz w:val="20"/>
                <w:szCs w:val="20"/>
                <w:color w:val="auto"/>
              </w:rPr>
            </w:pPr>
            <w:r>
              <w:rPr>
                <w:rFonts w:ascii="Arial" w:cs="Arial" w:eastAsia="Arial" w:hAnsi="Arial"/>
                <w:sz w:val="18"/>
                <w:szCs w:val="18"/>
                <w:color w:val="auto"/>
              </w:rPr>
              <w:t>EBITDA Adjustments:</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3,501</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7,664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1,083</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20" w:type="dxa"/>
            <w:vAlign w:val="bottom"/>
          </w:tcPr>
          <w:p>
            <w:pPr>
              <w:spacing w:after="0"/>
              <w:rPr>
                <w:sz w:val="23"/>
                <w:szCs w:val="23"/>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2,130</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w:t>
            </w:r>
          </w:p>
        </w:tc>
        <w:tc>
          <w:tcPr>
            <w:tcW w:w="120" w:type="dxa"/>
            <w:vAlign w:val="bottom"/>
          </w:tcPr>
          <w:p>
            <w:pPr>
              <w:spacing w:after="0"/>
              <w:rPr>
                <w:sz w:val="23"/>
                <w:szCs w:val="2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Reversal of tax indemnification receivable</w:t>
            </w:r>
          </w:p>
        </w:tc>
        <w:tc>
          <w:tcPr>
            <w:tcW w:w="120" w:type="dxa"/>
            <w:vAlign w:val="bottom"/>
          </w:tcPr>
          <w:p>
            <w:pPr>
              <w:spacing w:after="0"/>
              <w:rPr>
                <w:sz w:val="23"/>
                <w:szCs w:val="23"/>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82,926</w:t>
            </w:r>
          </w:p>
        </w:tc>
        <w:tc>
          <w:tcPr>
            <w:tcW w:w="14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59,758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269,638</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227,860</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Adjusted EBITDA % Revenue</w:t>
            </w: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1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26.8 %</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20"/>
          </w:cols>
          <w:pgMar w:left="340" w:top="1440" w:right="339" w:bottom="1440" w:gutter="0" w:footer="0" w:header="0"/>
        </w:sectPr>
      </w:pPr>
    </w:p>
    <w:bookmarkStart w:id="19" w:name="page20"/>
    <w:bookmarkEnd w:id="19"/>
    <w:p>
      <w:pPr>
        <w:spacing w:after="0" w:line="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Gross Profit to Adjusted Gross Profit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60" w:type="dxa"/>
            <w:vAlign w:val="bottom"/>
          </w:tcPr>
          <w:p>
            <w:pPr>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2"/>
                <w:szCs w:val="22"/>
                <w:color w:val="auto"/>
              </w:rPr>
            </w:pPr>
          </w:p>
        </w:tc>
        <w:tc>
          <w:tcPr>
            <w:tcW w:w="294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527"/>
        </w:trPr>
        <w:tc>
          <w:tcPr>
            <w:tcW w:w="5160" w:type="dxa"/>
            <w:vAlign w:val="bottom"/>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126,612</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101,885</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453,682</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393,312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Gross Profit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41.9 %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r>
        <w:trPr>
          <w:trHeight w:val="540"/>
        </w:trPr>
        <w:tc>
          <w:tcPr>
            <w:tcW w:w="5160" w:type="dxa"/>
            <w:vAlign w:val="bottom"/>
          </w:tcPr>
          <w:p>
            <w:pPr>
              <w:spacing w:after="0"/>
              <w:rPr>
                <w:sz w:val="20"/>
                <w:szCs w:val="20"/>
                <w:color w:val="auto"/>
              </w:rPr>
            </w:pPr>
            <w:r>
              <w:rPr>
                <w:rFonts w:ascii="Arial" w:cs="Arial" w:eastAsia="Arial" w:hAnsi="Arial"/>
                <w:sz w:val="18"/>
                <w:szCs w:val="18"/>
                <w:color w:val="auto"/>
              </w:rPr>
              <w:t>Adjusting Items: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4,017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60" w:type="dxa"/>
            <w:vAlign w:val="bottom"/>
          </w:tcPr>
          <w:p>
            <w:pPr>
              <w:ind w:left="220"/>
              <w:spacing w:after="0"/>
              <w:rPr>
                <w:sz w:val="20"/>
                <w:szCs w:val="20"/>
                <w:color w:val="auto"/>
              </w:rPr>
            </w:pPr>
            <w:r>
              <w:rPr>
                <w:rFonts w:ascii="Arial" w:cs="Arial" w:eastAsia="Arial" w:hAnsi="Arial"/>
                <w:sz w:val="18"/>
                <w:szCs w:val="18"/>
                <w:color w:val="auto"/>
              </w:rPr>
              <w:t>Nonrecurring COGS reclass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0"/>
                <w:szCs w:val="20"/>
                <w:color w:val="auto"/>
              </w:rPr>
            </w:pPr>
            <w:r>
              <w:rPr>
                <w:rFonts w:ascii="Arial" w:cs="Arial" w:eastAsia="Arial" w:hAnsi="Arial"/>
                <w:sz w:val="18"/>
                <w:szCs w:val="18"/>
                <w:color w:val="auto"/>
              </w:rPr>
              <w:t>Adjusted Gross Profit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134,503</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101,885</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461,573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393,312</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color w:val="auto"/>
              </w:rPr>
              <w:t>Adjusted Gross Profit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51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42.6 %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Operating Expenses to Adjusted Operating Expenses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180" w:type="dxa"/>
            <w:vAlign w:val="bottom"/>
          </w:tcPr>
          <w:p>
            <w:pPr>
              <w:spacing w:after="0"/>
              <w:rPr>
                <w:sz w:val="20"/>
                <w:szCs w:val="20"/>
                <w:color w:val="auto"/>
              </w:rPr>
            </w:pPr>
            <w:r>
              <w:rPr>
                <w:rFonts w:ascii="Arial" w:cs="Arial" w:eastAsia="Arial" w:hAnsi="Arial"/>
                <w:sz w:val="18"/>
                <w:szCs w:val="18"/>
                <w:color w:val="auto"/>
              </w:rPr>
              <w:t>(Amounts in thousands)</w:t>
            </w:r>
          </w:p>
        </w:tc>
        <w:tc>
          <w:tcPr>
            <w:tcW w:w="140" w:type="dxa"/>
            <w:vAlign w:val="bottom"/>
          </w:tcPr>
          <w:p>
            <w:pPr>
              <w:spacing w:after="0"/>
              <w:rPr>
                <w:sz w:val="22"/>
                <w:szCs w:val="22"/>
                <w:color w:val="auto"/>
              </w:rPr>
            </w:pPr>
          </w:p>
        </w:tc>
        <w:tc>
          <w:tcPr>
            <w:tcW w:w="2920" w:type="dxa"/>
            <w:vAlign w:val="bottom"/>
            <w:gridSpan w:val="5"/>
          </w:tcPr>
          <w:p>
            <w:pPr>
              <w:ind w:left="20"/>
              <w:spacing w:after="0"/>
              <w:rPr>
                <w:sz w:val="20"/>
                <w:szCs w:val="20"/>
                <w:color w:val="auto"/>
              </w:rPr>
            </w:pPr>
            <w:r>
              <w:rPr>
                <w:rFonts w:ascii="Arial" w:cs="Arial" w:eastAsia="Arial" w:hAnsi="Arial"/>
                <w:sz w:val="18"/>
                <w:szCs w:val="18"/>
                <w:b w:val="1"/>
                <w:bCs w:val="1"/>
                <w:color w:val="auto"/>
              </w:rPr>
              <w:t>Three months ended March 31,</w:t>
            </w:r>
          </w:p>
        </w:tc>
        <w:tc>
          <w:tcPr>
            <w:tcW w:w="320" w:type="dxa"/>
            <w:vAlign w:val="bottom"/>
          </w:tcPr>
          <w:p>
            <w:pPr>
              <w:spacing w:after="0"/>
              <w:rPr>
                <w:sz w:val="22"/>
                <w:szCs w:val="22"/>
                <w:color w:val="auto"/>
              </w:rPr>
            </w:pPr>
          </w:p>
        </w:tc>
        <w:tc>
          <w:tcPr>
            <w:tcW w:w="17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March 31,</w:t>
            </w: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1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526"/>
        </w:trPr>
        <w:tc>
          <w:tcPr>
            <w:tcW w:w="5180" w:type="dxa"/>
            <w:vAlign w:val="bottom"/>
          </w:tcPr>
          <w:p>
            <w:pPr>
              <w:spacing w:after="0"/>
              <w:rPr>
                <w:sz w:val="20"/>
                <w:szCs w:val="20"/>
                <w:color w:val="auto"/>
              </w:rPr>
            </w:pPr>
            <w:r>
              <w:rPr>
                <w:rFonts w:ascii="Arial" w:cs="Arial" w:eastAsia="Arial" w:hAnsi="Arial"/>
                <w:sz w:val="18"/>
                <w:szCs w:val="18"/>
                <w:color w:val="auto"/>
              </w:rPr>
              <w:t>Operating expenses (a)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87,072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56,841</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285,147</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212,065</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Arial" w:cs="Arial" w:eastAsia="Arial" w:hAnsi="Arial"/>
                <w:sz w:val="18"/>
                <w:szCs w:val="18"/>
                <w:color w:val="auto"/>
              </w:rPr>
              <w:t>Operating expenses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28.2 %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540"/>
        </w:trPr>
        <w:tc>
          <w:tcPr>
            <w:tcW w:w="5180" w:type="dxa"/>
            <w:vAlign w:val="bottom"/>
          </w:tcPr>
          <w:p>
            <w:pPr>
              <w:spacing w:after="0"/>
              <w:rPr>
                <w:sz w:val="20"/>
                <w:szCs w:val="20"/>
                <w:color w:val="auto"/>
              </w:rPr>
            </w:pPr>
            <w:r>
              <w:rPr>
                <w:rFonts w:ascii="Arial" w:cs="Arial" w:eastAsia="Arial" w:hAnsi="Arial"/>
                <w:sz w:val="18"/>
                <w:szCs w:val="18"/>
                <w:color w:val="auto"/>
              </w:rPr>
              <w:t>Adjusting Items: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integration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Acquisition-related transaction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(4,265)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140" w:type="dxa"/>
            <w:vAlign w:val="bottom"/>
          </w:tcPr>
          <w:p>
            <w:pPr>
              <w:spacing w:after="0"/>
              <w:rPr>
                <w:sz w:val="23"/>
                <w:szCs w:val="23"/>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(15,627)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(15,627)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Fair value change in contingent consideration liability</w:t>
            </w:r>
          </w:p>
        </w:tc>
        <w:tc>
          <w:tcPr>
            <w:tcW w:w="140" w:type="dxa"/>
            <w:vAlign w:val="bottom"/>
          </w:tcPr>
          <w:p>
            <w:pPr>
              <w:spacing w:after="0"/>
              <w:rPr>
                <w:sz w:val="23"/>
                <w:szCs w:val="23"/>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70"/>
        </w:trPr>
        <w:tc>
          <w:tcPr>
            <w:tcW w:w="5180" w:type="dxa"/>
            <w:vAlign w:val="bottom"/>
          </w:tcPr>
          <w:p>
            <w:pPr>
              <w:ind w:left="220"/>
              <w:spacing w:after="0"/>
              <w:rPr>
                <w:sz w:val="20"/>
                <w:szCs w:val="20"/>
                <w:color w:val="auto"/>
              </w:rPr>
            </w:pPr>
            <w:r>
              <w:rPr>
                <w:rFonts w:ascii="Arial" w:cs="Arial" w:eastAsia="Arial" w:hAnsi="Arial"/>
                <w:sz w:val="18"/>
                <w:szCs w:val="18"/>
                <w:color w:val="auto"/>
              </w:rPr>
              <w:t>Nonrecurring COGS reclass</w:t>
            </w:r>
          </w:p>
        </w:tc>
        <w:tc>
          <w:tcPr>
            <w:tcW w:w="140" w:type="dxa"/>
            <w:vAlign w:val="bottom"/>
          </w:tcPr>
          <w:p>
            <w:pPr>
              <w:spacing w:after="0"/>
              <w:rPr>
                <w:sz w:val="23"/>
                <w:szCs w:val="23"/>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80" w:type="dxa"/>
            <w:vAlign w:val="bottom"/>
          </w:tcPr>
          <w:p>
            <w:pPr>
              <w:spacing w:after="0"/>
              <w:rPr>
                <w:sz w:val="20"/>
                <w:szCs w:val="20"/>
                <w:color w:val="auto"/>
              </w:rPr>
            </w:pPr>
            <w:r>
              <w:rPr>
                <w:rFonts w:ascii="Arial" w:cs="Arial" w:eastAsia="Arial" w:hAnsi="Arial"/>
                <w:sz w:val="18"/>
                <w:szCs w:val="18"/>
                <w:color w:val="auto"/>
              </w:rPr>
              <w:t>Adjusted Operating expenses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71,909</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53,307</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259,673</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207,671</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Adjusted Operating expenses % Revenue</w:t>
            </w: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1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bl>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 Operating expenses include selling, general, and administrative expense and impairment expense.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0620"/>
        <w:spacing w:after="0"/>
        <w:rPr>
          <w:sz w:val="20"/>
          <w:szCs w:val="20"/>
          <w:color w:val="auto"/>
        </w:rPr>
      </w:pPr>
      <w:r>
        <w:rPr>
          <w:rFonts w:ascii="Arial" w:cs="Arial" w:eastAsia="Arial" w:hAnsi="Arial"/>
          <w:sz w:val="19"/>
          <w:szCs w:val="19"/>
          <w:color w:val="auto"/>
        </w:rPr>
        <w:t>17</w:t>
      </w:r>
    </w:p>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Segment Operating Income to Segment Adjusted EBITDA</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2135505</wp:posOffset>
            </wp:positionH>
            <wp:positionV relativeFrom="paragraph">
              <wp:posOffset>123825</wp:posOffset>
            </wp:positionV>
            <wp:extent cx="49891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89195"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60" w:type="dxa"/>
            <w:vAlign w:val="bottom"/>
          </w:tcPr>
          <w:p>
            <w:pPr>
              <w:spacing w:after="0"/>
              <w:rPr>
                <w:sz w:val="20"/>
                <w:szCs w:val="20"/>
                <w:color w:val="auto"/>
              </w:rPr>
            </w:pPr>
            <w:r>
              <w:rPr>
                <w:rFonts w:ascii="Arial" w:cs="Arial" w:eastAsia="Arial" w:hAnsi="Arial"/>
                <w:sz w:val="16"/>
                <w:szCs w:val="16"/>
                <w:color w:val="auto"/>
              </w:rPr>
              <w:t>(Amounts in thousands)</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438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 March 31, 2026</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Contractor</w:t>
            </w:r>
          </w:p>
        </w:tc>
        <w:tc>
          <w:tcPr>
            <w:tcW w:w="24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Specialized</w:t>
            </w:r>
          </w:p>
        </w:tc>
        <w:tc>
          <w:tcPr>
            <w:tcW w:w="24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Reliability Solutions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Revenue,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237,110</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46,216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27,650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308,960</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36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52,753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7,228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(13,373)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39,541</w:t>
            </w:r>
          </w:p>
        </w:tc>
        <w:tc>
          <w:tcPr>
            <w:tcW w:w="0" w:type="dxa"/>
            <w:vAlign w:val="bottom"/>
          </w:tcPr>
          <w:p>
            <w:pPr>
              <w:spacing w:after="0"/>
              <w:rPr>
                <w:sz w:val="1"/>
                <w:szCs w:val="1"/>
                <w:color w:val="auto"/>
              </w:rPr>
            </w:pPr>
          </w:p>
        </w:tc>
      </w:tr>
      <w:tr>
        <w:trPr>
          <w:trHeight w:val="21"/>
        </w:trPr>
        <w:tc>
          <w:tcPr>
            <w:tcW w:w="3360" w:type="dxa"/>
            <w:vAlign w:val="bottom"/>
            <w:vMerge w:val="restart"/>
          </w:tcPr>
          <w:p>
            <w:pPr>
              <w:ind w:left="220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22.2 %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15.6 %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526"/>
        </w:trPr>
        <w:tc>
          <w:tcPr>
            <w:tcW w:w="336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60" w:type="dxa"/>
            <w:vAlign w:val="bottom"/>
          </w:tcPr>
          <w:p>
            <w:pPr>
              <w:ind w:left="220"/>
              <w:spacing w:after="0"/>
              <w:rPr>
                <w:sz w:val="20"/>
                <w:szCs w:val="20"/>
                <w:color w:val="auto"/>
              </w:rPr>
            </w:pPr>
            <w:r>
              <w:rPr>
                <w:rFonts w:ascii="Arial" w:cs="Arial" w:eastAsia="Arial" w:hAnsi="Arial"/>
                <w:sz w:val="18"/>
                <w:szCs w:val="18"/>
                <w:color w:val="auto"/>
              </w:rPr>
              <w:t>Acquisition-related integration</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2,842</w:t>
            </w:r>
          </w:p>
        </w:tc>
        <w:tc>
          <w:tcPr>
            <w:tcW w:w="2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660</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1,083</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47"/>
        </w:trPr>
        <w:tc>
          <w:tcPr>
            <w:tcW w:w="3360" w:type="dxa"/>
            <w:vAlign w:val="bottom"/>
          </w:tcPr>
          <w:p>
            <w:pPr>
              <w:ind w:left="220"/>
              <w:spacing w:after="0"/>
              <w:rPr>
                <w:sz w:val="20"/>
                <w:szCs w:val="20"/>
                <w:color w:val="auto"/>
              </w:rPr>
            </w:pPr>
            <w:r>
              <w:rPr>
                <w:rFonts w:ascii="Arial" w:cs="Arial" w:eastAsia="Arial" w:hAnsi="Arial"/>
                <w:sz w:val="18"/>
                <w:szCs w:val="18"/>
                <w:color w:val="auto"/>
              </w:rPr>
              <w:t>Acquisition-related transaction</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6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24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542</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6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56,848</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8,430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4,385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62,595</w:t>
            </w:r>
          </w:p>
        </w:tc>
        <w:tc>
          <w:tcPr>
            <w:tcW w:w="0" w:type="dxa"/>
            <w:vAlign w:val="bottom"/>
          </w:tcPr>
          <w:p>
            <w:pPr>
              <w:spacing w:after="0"/>
              <w:rPr>
                <w:sz w:val="1"/>
                <w:szCs w:val="1"/>
                <w:color w:val="auto"/>
              </w:rPr>
            </w:pPr>
          </w:p>
        </w:tc>
      </w:tr>
      <w:tr>
        <w:trPr>
          <w:trHeight w:val="20"/>
        </w:trPr>
        <w:tc>
          <w:tcPr>
            <w:tcW w:w="3360" w:type="dxa"/>
            <w:vAlign w:val="bottom"/>
            <w:vMerge w:val="restart"/>
          </w:tcPr>
          <w:p>
            <w:pPr>
              <w:ind w:left="220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24.0 %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540"/>
        </w:trPr>
        <w:tc>
          <w:tcPr>
            <w:tcW w:w="336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0"/>
        </w:trPr>
        <w:tc>
          <w:tcPr>
            <w:tcW w:w="3360" w:type="dxa"/>
            <w:vAlign w:val="bottom"/>
          </w:tcPr>
          <w:p>
            <w:pPr>
              <w:ind w:left="220"/>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18,145</w:t>
            </w:r>
          </w:p>
        </w:tc>
        <w:tc>
          <w:tcPr>
            <w:tcW w:w="240" w:type="dxa"/>
            <w:vAlign w:val="bottom"/>
          </w:tcPr>
          <w:p>
            <w:pPr>
              <w:spacing w:after="0"/>
              <w:rPr>
                <w:sz w:val="23"/>
                <w:szCs w:val="23"/>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1,625</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20,284</w:t>
            </w:r>
          </w:p>
        </w:tc>
        <w:tc>
          <w:tcPr>
            <w:tcW w:w="0" w:type="dxa"/>
            <w:vAlign w:val="bottom"/>
          </w:tcPr>
          <w:p>
            <w:pPr>
              <w:spacing w:after="0"/>
              <w:rPr>
                <w:sz w:val="1"/>
                <w:szCs w:val="1"/>
                <w:color w:val="auto"/>
              </w:rPr>
            </w:pPr>
          </w:p>
        </w:tc>
      </w:tr>
      <w:tr>
        <w:trPr>
          <w:trHeight w:val="23"/>
        </w:trPr>
        <w:tc>
          <w:tcPr>
            <w:tcW w:w="3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6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75,103</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10,052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(7,093)</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82,927</w:t>
            </w:r>
          </w:p>
        </w:tc>
        <w:tc>
          <w:tcPr>
            <w:tcW w:w="0" w:type="dxa"/>
            <w:vAlign w:val="bottom"/>
          </w:tcPr>
          <w:p>
            <w:pPr>
              <w:spacing w:after="0"/>
              <w:rPr>
                <w:sz w:val="1"/>
                <w:szCs w:val="1"/>
                <w:color w:val="auto"/>
              </w:rPr>
            </w:pPr>
          </w:p>
        </w:tc>
      </w:tr>
      <w:tr>
        <w:trPr>
          <w:trHeight w:val="21"/>
        </w:trPr>
        <w:tc>
          <w:tcPr>
            <w:tcW w:w="3360" w:type="dxa"/>
            <w:vAlign w:val="bottom"/>
            <w:vMerge w:val="restart"/>
          </w:tcPr>
          <w:p>
            <w:pPr>
              <w:ind w:left="220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21.8 %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20"/>
          </w:cols>
          <w:pgMar w:left="340" w:top="1440" w:right="339" w:bottom="1440" w:gutter="0" w:footer="0" w:header="0"/>
        </w:sectPr>
      </w:pPr>
    </w:p>
    <w:bookmarkStart w:id="21" w:name="page22"/>
    <w:bookmarkEnd w:id="21"/>
    <w:p>
      <w:pPr>
        <w:spacing w:after="0" w:line="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2334260</wp:posOffset>
            </wp:positionH>
            <wp:positionV relativeFrom="page">
              <wp:posOffset>929005</wp:posOffset>
            </wp:positionV>
            <wp:extent cx="5006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5"/>
        </w:trPr>
        <w:tc>
          <w:tcPr>
            <w:tcW w:w="3340" w:type="dxa"/>
            <w:vAlign w:val="bottom"/>
          </w:tcPr>
          <w:p>
            <w:pPr>
              <w:spacing w:after="0"/>
              <w:rPr>
                <w:sz w:val="20"/>
                <w:szCs w:val="20"/>
                <w:color w:val="auto"/>
              </w:rPr>
            </w:pPr>
            <w:r>
              <w:rPr>
                <w:rFonts w:ascii="Arial" w:cs="Arial" w:eastAsia="Arial" w:hAnsi="Arial"/>
                <w:sz w:val="16"/>
                <w:szCs w:val="16"/>
                <w:color w:val="auto"/>
              </w:rPr>
              <w:t>(Amounts in thousands)</w:t>
            </w: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42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Three Months Ended March 31, 2025</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Contractor</w:t>
            </w:r>
          </w:p>
        </w:tc>
        <w:tc>
          <w:tcPr>
            <w:tcW w:w="220" w:type="dxa"/>
            <w:vAlign w:val="bottom"/>
          </w:tcPr>
          <w:p>
            <w:pPr>
              <w:spacing w:after="0"/>
              <w:rPr>
                <w:sz w:val="19"/>
                <w:szCs w:val="19"/>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Specialized</w:t>
            </w:r>
          </w:p>
        </w:tc>
        <w:tc>
          <w:tcPr>
            <w:tcW w:w="240" w:type="dxa"/>
            <w:vAlign w:val="bottom"/>
          </w:tcPr>
          <w:p>
            <w:pPr>
              <w:spacing w:after="0"/>
              <w:rPr>
                <w:sz w:val="19"/>
                <w:szCs w:val="19"/>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w w:val="99"/>
              </w:rPr>
              <w:t>Reliability Solutions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Revenue, net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165,929</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37,750</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28,732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230,549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6"/>
        </w:trPr>
        <w:tc>
          <w:tcPr>
            <w:tcW w:w="3340" w:type="dxa"/>
            <w:vAlign w:val="bottom"/>
          </w:tcPr>
          <w:p>
            <w:pPr>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42,999</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4,465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45,044</w:t>
            </w:r>
          </w:p>
        </w:tc>
        <w:tc>
          <w:tcPr>
            <w:tcW w:w="0" w:type="dxa"/>
            <w:vAlign w:val="bottom"/>
          </w:tcPr>
          <w:p>
            <w:pPr>
              <w:spacing w:after="0"/>
              <w:rPr>
                <w:sz w:val="1"/>
                <w:szCs w:val="1"/>
                <w:color w:val="auto"/>
              </w:rPr>
            </w:pPr>
          </w:p>
        </w:tc>
      </w:tr>
      <w:tr>
        <w:trPr>
          <w:trHeight w:val="21"/>
        </w:trPr>
        <w:tc>
          <w:tcPr>
            <w:tcW w:w="3340" w:type="dxa"/>
            <w:vAlign w:val="bottom"/>
            <w:vMerge w:val="restart"/>
          </w:tcPr>
          <w:p>
            <w:pPr>
              <w:ind w:left="218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25.9 %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540"/>
        </w:trPr>
        <w:tc>
          <w:tcPr>
            <w:tcW w:w="334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40" w:type="dxa"/>
            <w:vAlign w:val="bottom"/>
          </w:tcPr>
          <w:p>
            <w:pPr>
              <w:ind w:left="220"/>
              <w:spacing w:after="0"/>
              <w:rPr>
                <w:sz w:val="20"/>
                <w:szCs w:val="20"/>
                <w:color w:val="auto"/>
              </w:rPr>
            </w:pPr>
            <w:r>
              <w:rPr>
                <w:rFonts w:ascii="Arial" w:cs="Arial" w:eastAsia="Arial" w:hAnsi="Arial"/>
                <w:sz w:val="18"/>
                <w:szCs w:val="18"/>
                <w:color w:val="auto"/>
              </w:rPr>
              <w:t>Fair value change in contingent</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40" w:type="dxa"/>
            <w:vAlign w:val="bottom"/>
          </w:tcPr>
          <w:p>
            <w:pPr>
              <w:ind w:left="220"/>
              <w:spacing w:after="0"/>
              <w:rPr>
                <w:sz w:val="20"/>
                <w:szCs w:val="20"/>
                <w:color w:val="auto"/>
              </w:rPr>
            </w:pPr>
            <w:r>
              <w:rPr>
                <w:rFonts w:ascii="Arial" w:cs="Arial" w:eastAsia="Arial" w:hAnsi="Arial"/>
                <w:sz w:val="18"/>
                <w:szCs w:val="18"/>
                <w:color w:val="auto"/>
              </w:rPr>
              <w:t>consideration liability</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7"/>
        </w:trPr>
        <w:tc>
          <w:tcPr>
            <w:tcW w:w="3340" w:type="dxa"/>
            <w:vAlign w:val="bottom"/>
          </w:tcPr>
          <w:p>
            <w:pPr>
              <w:ind w:left="220"/>
              <w:spacing w:after="0"/>
              <w:rPr>
                <w:sz w:val="20"/>
                <w:szCs w:val="20"/>
                <w:color w:val="auto"/>
              </w:rPr>
            </w:pPr>
            <w:r>
              <w:rPr>
                <w:rFonts w:ascii="Arial" w:cs="Arial" w:eastAsia="Arial" w:hAnsi="Arial"/>
                <w:sz w:val="18"/>
                <w:szCs w:val="18"/>
                <w:color w:val="auto"/>
              </w:rPr>
              <w:t>Acquisition-related transaction</w:t>
            </w: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4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1,434</w:t>
            </w:r>
          </w:p>
        </w:tc>
        <w:tc>
          <w:tcPr>
            <w:tcW w:w="220" w:type="dxa"/>
            <w:vAlign w:val="bottom"/>
          </w:tcPr>
          <w:p>
            <w:pPr>
              <w:spacing w:after="0"/>
              <w:rPr>
                <w:sz w:val="20"/>
                <w:szCs w:val="20"/>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46,533</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4,465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3,736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48,577</w:t>
            </w:r>
          </w:p>
        </w:tc>
        <w:tc>
          <w:tcPr>
            <w:tcW w:w="0" w:type="dxa"/>
            <w:vAlign w:val="bottom"/>
          </w:tcPr>
          <w:p>
            <w:pPr>
              <w:spacing w:after="0"/>
              <w:rPr>
                <w:sz w:val="1"/>
                <w:szCs w:val="1"/>
                <w:color w:val="auto"/>
              </w:rPr>
            </w:pPr>
          </w:p>
        </w:tc>
      </w:tr>
      <w:tr>
        <w:trPr>
          <w:trHeight w:val="21"/>
        </w:trPr>
        <w:tc>
          <w:tcPr>
            <w:tcW w:w="3340" w:type="dxa"/>
            <w:vAlign w:val="bottom"/>
            <w:vMerge w:val="restart"/>
          </w:tcPr>
          <w:p>
            <w:pPr>
              <w:ind w:left="218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28.0 %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11.8 %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540"/>
        </w:trPr>
        <w:tc>
          <w:tcPr>
            <w:tcW w:w="3340" w:type="dxa"/>
            <w:vAlign w:val="bottom"/>
          </w:tcPr>
          <w:p>
            <w:pPr>
              <w:spacing w:after="0"/>
              <w:rPr>
                <w:sz w:val="20"/>
                <w:szCs w:val="20"/>
                <w:color w:val="auto"/>
              </w:rPr>
            </w:pPr>
            <w:r>
              <w:rPr>
                <w:rFonts w:ascii="Arial" w:cs="Arial" w:eastAsia="Arial" w:hAnsi="Arial"/>
                <w:sz w:val="18"/>
                <w:szCs w:val="18"/>
                <w:color w:val="auto"/>
              </w:rPr>
              <w:t>Adjusting Items: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23"/>
                <w:szCs w:val="23"/>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23"/>
                <w:szCs w:val="23"/>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0"/>
        </w:trPr>
        <w:tc>
          <w:tcPr>
            <w:tcW w:w="3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9,502</w:t>
            </w:r>
          </w:p>
        </w:tc>
        <w:tc>
          <w:tcPr>
            <w:tcW w:w="220" w:type="dxa"/>
            <w:vAlign w:val="bottom"/>
          </w:tcPr>
          <w:p>
            <w:pPr>
              <w:spacing w:after="0"/>
              <w:rPr>
                <w:sz w:val="23"/>
                <w:szCs w:val="23"/>
                <w:color w:val="auto"/>
              </w:rPr>
            </w:pP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1,356</w:t>
            </w:r>
          </w:p>
        </w:tc>
        <w:tc>
          <w:tcPr>
            <w:tcW w:w="24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11,327</w:t>
            </w:r>
          </w:p>
        </w:tc>
        <w:tc>
          <w:tcPr>
            <w:tcW w:w="0" w:type="dxa"/>
            <w:vAlign w:val="bottom"/>
          </w:tcPr>
          <w:p>
            <w:pPr>
              <w:spacing w:after="0"/>
              <w:rPr>
                <w:sz w:val="1"/>
                <w:szCs w:val="1"/>
                <w:color w:val="auto"/>
              </w:rPr>
            </w:pPr>
          </w:p>
        </w:tc>
      </w:tr>
      <w:tr>
        <w:trPr>
          <w:trHeight w:val="23"/>
        </w:trPr>
        <w:tc>
          <w:tcPr>
            <w:tcW w:w="3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55,998</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5,787</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59,758</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2180"/>
              <w:spacing w:after="0"/>
              <w:rPr>
                <w:sz w:val="20"/>
                <w:szCs w:val="20"/>
                <w:color w:val="auto"/>
              </w:rPr>
            </w:pPr>
            <w:r>
              <w:rPr>
                <w:rFonts w:ascii="Arial" w:cs="Arial" w:eastAsia="Arial" w:hAnsi="Arial"/>
                <w:sz w:val="18"/>
                <w:szCs w:val="18"/>
                <w:color w:val="auto"/>
              </w:rPr>
              <w:t>% Revenue</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33.7 %</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15.3 %</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20"/>
          </w:cols>
          <w:pgMar w:left="340" w:top="1440" w:right="339" w:bottom="1440" w:gutter="0" w:footer="0" w:header="0"/>
        </w:sectPr>
      </w:pPr>
    </w:p>
    <w:bookmarkStart w:id="22" w:name="page23"/>
    <w:bookmarkEnd w:id="22"/>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Segment Operating Income to Segment Adjusted EBITDA</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2152650</wp:posOffset>
            </wp:positionH>
            <wp:positionV relativeFrom="paragraph">
              <wp:posOffset>123825</wp:posOffset>
            </wp:positionV>
            <wp:extent cx="49720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338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gridSpan w:val="5"/>
          </w:tcPr>
          <w:p>
            <w:pPr>
              <w:jc w:val="right"/>
              <w:ind w:right="1010"/>
              <w:spacing w:after="0"/>
              <w:rPr>
                <w:sz w:val="20"/>
                <w:szCs w:val="20"/>
                <w:color w:val="auto"/>
              </w:rPr>
            </w:pPr>
            <w:r>
              <w:rPr>
                <w:rFonts w:ascii="Arial" w:cs="Arial" w:eastAsia="Arial" w:hAnsi="Arial"/>
                <w:sz w:val="18"/>
                <w:szCs w:val="18"/>
                <w:b w:val="1"/>
                <w:bCs w:val="1"/>
                <w:color w:val="auto"/>
              </w:rPr>
              <w:t>Year Ended March 31, 2026</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9"/>
              </w:rPr>
              <w:t>Specialized</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Contractor</w:t>
            </w:r>
          </w:p>
        </w:tc>
        <w:tc>
          <w:tcPr>
            <w:tcW w:w="2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rPr>
              <w:t>Reliability</w:t>
            </w:r>
          </w:p>
        </w:tc>
        <w:tc>
          <w:tcPr>
            <w:tcW w:w="22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220" w:type="dxa"/>
            <w:vAlign w:val="bottom"/>
          </w:tcPr>
          <w:p>
            <w:pPr>
              <w:spacing w:after="0"/>
              <w:rPr>
                <w:sz w:val="20"/>
                <w:szCs w:val="20"/>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9"/>
              </w:rPr>
              <w:t>Solutions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0"/>
                <w:szCs w:val="20"/>
                <w:color w:val="auto"/>
              </w:rPr>
            </w:pPr>
            <w:r>
              <w:rPr>
                <w:rFonts w:ascii="Arial" w:cs="Arial" w:eastAsia="Arial" w:hAnsi="Arial"/>
                <w:sz w:val="18"/>
                <w:szCs w:val="18"/>
                <w:color w:val="auto"/>
              </w:rPr>
              <w:t>Revenue, net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810,317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160,111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119,911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1,082,549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38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175,677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22,079</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(1,180)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168,535</w:t>
            </w:r>
          </w:p>
        </w:tc>
        <w:tc>
          <w:tcPr>
            <w:tcW w:w="0" w:type="dxa"/>
            <w:vAlign w:val="bottom"/>
          </w:tcPr>
          <w:p>
            <w:pPr>
              <w:spacing w:after="0"/>
              <w:rPr>
                <w:sz w:val="1"/>
                <w:szCs w:val="1"/>
                <w:color w:val="auto"/>
              </w:rPr>
            </w:pPr>
          </w:p>
        </w:tc>
      </w:tr>
      <w:tr>
        <w:trPr>
          <w:trHeight w:val="21"/>
        </w:trPr>
        <w:tc>
          <w:tcPr>
            <w:tcW w:w="3380" w:type="dxa"/>
            <w:vAlign w:val="bottom"/>
            <w:vMerge w:val="restart"/>
          </w:tcPr>
          <w:p>
            <w:pPr>
              <w:ind w:left="2220"/>
              <w:spacing w:after="0"/>
              <w:rPr>
                <w:sz w:val="20"/>
                <w:szCs w:val="20"/>
                <w:color w:val="auto"/>
              </w:rPr>
            </w:pPr>
            <w:r>
              <w:rPr>
                <w:rFonts w:ascii="Arial" w:cs="Arial" w:eastAsia="Arial" w:hAnsi="Arial"/>
                <w:sz w:val="18"/>
                <w:szCs w:val="18"/>
                <w:color w:val="auto"/>
              </w:rPr>
              <w:t>% Revenue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3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15.6 %</w:t>
            </w:r>
          </w:p>
        </w:tc>
        <w:tc>
          <w:tcPr>
            <w:tcW w:w="0" w:type="dxa"/>
            <w:vAlign w:val="bottom"/>
          </w:tcPr>
          <w:p>
            <w:pPr>
              <w:spacing w:after="0"/>
              <w:rPr>
                <w:sz w:val="1"/>
                <w:szCs w:val="1"/>
                <w:color w:val="auto"/>
              </w:rPr>
            </w:pPr>
          </w:p>
        </w:tc>
      </w:tr>
      <w:tr>
        <w:trPr>
          <w:trHeight w:val="527"/>
        </w:trPr>
        <w:tc>
          <w:tcPr>
            <w:tcW w:w="3380" w:type="dxa"/>
            <w:vAlign w:val="bottom"/>
          </w:tcPr>
          <w:p>
            <w:pPr>
              <w:spacing w:after="0"/>
              <w:rPr>
                <w:sz w:val="20"/>
                <w:szCs w:val="20"/>
                <w:color w:val="auto"/>
              </w:rPr>
            </w:pPr>
            <w:r>
              <w:rPr>
                <w:rFonts w:ascii="Arial" w:cs="Arial" w:eastAsia="Arial" w:hAnsi="Arial"/>
                <w:sz w:val="18"/>
                <w:szCs w:val="18"/>
                <w:color w:val="auto"/>
              </w:rPr>
              <w:t>Adjusting Items: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380" w:type="dxa"/>
            <w:vAlign w:val="bottom"/>
          </w:tcPr>
          <w:p>
            <w:pPr>
              <w:ind w:left="220"/>
              <w:spacing w:after="0"/>
              <w:rPr>
                <w:sz w:val="20"/>
                <w:szCs w:val="20"/>
                <w:color w:val="auto"/>
              </w:rPr>
            </w:pPr>
            <w:r>
              <w:rPr>
                <w:rFonts w:ascii="Arial" w:cs="Arial" w:eastAsia="Arial" w:hAnsi="Arial"/>
                <w:sz w:val="18"/>
                <w:szCs w:val="18"/>
                <w:color w:val="auto"/>
              </w:rPr>
              <w:t>Acquisition-related integration</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6,617</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1,047</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7,664</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Nonrecurring inventory write down</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47"/>
        </w:trPr>
        <w:tc>
          <w:tcPr>
            <w:tcW w:w="3380" w:type="dxa"/>
            <w:vAlign w:val="bottom"/>
          </w:tcPr>
          <w:p>
            <w:pPr>
              <w:ind w:left="220"/>
              <w:spacing w:after="0"/>
              <w:rPr>
                <w:sz w:val="20"/>
                <w:szCs w:val="20"/>
                <w:color w:val="auto"/>
              </w:rPr>
            </w:pPr>
            <w:r>
              <w:rPr>
                <w:rFonts w:ascii="Arial" w:cs="Arial" w:eastAsia="Arial" w:hAnsi="Arial"/>
                <w:sz w:val="18"/>
                <w:szCs w:val="18"/>
                <w:color w:val="auto"/>
              </w:rPr>
              <w:t>Acquisition-related transaction</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2,862</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423</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979</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4,265</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Nonrecurring restructuring expenses</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Greco Canada exit related expenses</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Greco impairment expenses</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188,291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24,092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16,578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201,898</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220"/>
              <w:spacing w:after="0"/>
              <w:rPr>
                <w:sz w:val="20"/>
                <w:szCs w:val="20"/>
                <w:color w:val="auto"/>
              </w:rPr>
            </w:pPr>
            <w:r>
              <w:rPr>
                <w:rFonts w:ascii="Arial" w:cs="Arial" w:eastAsia="Arial" w:hAnsi="Arial"/>
                <w:sz w:val="18"/>
                <w:szCs w:val="18"/>
                <w:color w:val="auto"/>
              </w:rPr>
              <w:t>% Revenue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23.2 %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13.8 %</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540"/>
        </w:trPr>
        <w:tc>
          <w:tcPr>
            <w:tcW w:w="3380" w:type="dxa"/>
            <w:vAlign w:val="bottom"/>
          </w:tcPr>
          <w:p>
            <w:pPr>
              <w:spacing w:after="0"/>
              <w:rPr>
                <w:sz w:val="20"/>
                <w:szCs w:val="20"/>
                <w:color w:val="auto"/>
              </w:rPr>
            </w:pPr>
            <w:r>
              <w:rPr>
                <w:rFonts w:ascii="Arial" w:cs="Arial" w:eastAsia="Arial" w:hAnsi="Arial"/>
                <w:sz w:val="18"/>
                <w:szCs w:val="18"/>
                <w:color w:val="auto"/>
              </w:rPr>
              <w:t>Adjusting Items: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3"/>
                <w:szCs w:val="23"/>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3"/>
                <w:szCs w:val="23"/>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0"/>
        </w:trPr>
        <w:tc>
          <w:tcPr>
            <w:tcW w:w="3380" w:type="dxa"/>
            <w:vAlign w:val="bottom"/>
          </w:tcPr>
          <w:p>
            <w:pPr>
              <w:ind w:left="220"/>
              <w:spacing w:after="0"/>
              <w:rPr>
                <w:sz w:val="20"/>
                <w:szCs w:val="20"/>
                <w:color w:val="auto"/>
              </w:rPr>
            </w:pPr>
            <w:r>
              <w:rPr>
                <w:rFonts w:ascii="Arial" w:cs="Arial" w:eastAsia="Arial" w:hAnsi="Arial"/>
                <w:sz w:val="18"/>
                <w:szCs w:val="18"/>
                <w:color w:val="auto"/>
              </w:rPr>
              <w:t>Depreciation &amp; amortization</w:t>
            </w:r>
          </w:p>
        </w:tc>
        <w:tc>
          <w:tcPr>
            <w:tcW w:w="26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59,408</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5,725</w:t>
            </w:r>
          </w:p>
        </w:tc>
        <w:tc>
          <w:tcPr>
            <w:tcW w:w="220" w:type="dxa"/>
            <w:vAlign w:val="bottom"/>
          </w:tcPr>
          <w:p>
            <w:pPr>
              <w:spacing w:after="0"/>
              <w:rPr>
                <w:sz w:val="23"/>
                <w:szCs w:val="23"/>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1,827</w:t>
            </w: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67,071</w:t>
            </w:r>
          </w:p>
        </w:tc>
        <w:tc>
          <w:tcPr>
            <w:tcW w:w="0" w:type="dxa"/>
            <w:vAlign w:val="bottom"/>
          </w:tcPr>
          <w:p>
            <w:pPr>
              <w:spacing w:after="0"/>
              <w:rPr>
                <w:sz w:val="1"/>
                <w:szCs w:val="1"/>
                <w:color w:val="auto"/>
              </w:rPr>
            </w:pPr>
          </w:p>
        </w:tc>
      </w:tr>
      <w:tr>
        <w:trPr>
          <w:trHeight w:val="247"/>
        </w:trPr>
        <w:tc>
          <w:tcPr>
            <w:tcW w:w="3380" w:type="dxa"/>
            <w:vAlign w:val="bottom"/>
          </w:tcPr>
          <w:p>
            <w:pPr>
              <w:ind w:left="220"/>
              <w:spacing w:after="0"/>
              <w:rPr>
                <w:sz w:val="20"/>
                <w:szCs w:val="20"/>
                <w:color w:val="auto"/>
              </w:rPr>
            </w:pPr>
            <w:r>
              <w:rPr>
                <w:rFonts w:ascii="Arial" w:cs="Arial" w:eastAsia="Arial" w:hAnsi="Arial"/>
                <w:sz w:val="18"/>
                <w:szCs w:val="18"/>
                <w:color w:val="auto"/>
              </w:rPr>
              <w:t>Reversal of tax indemnification</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80" w:type="dxa"/>
            <w:vAlign w:val="bottom"/>
          </w:tcPr>
          <w:p>
            <w:pPr>
              <w:ind w:left="220"/>
              <w:spacing w:after="0"/>
              <w:rPr>
                <w:sz w:val="20"/>
                <w:szCs w:val="20"/>
                <w:color w:val="auto"/>
              </w:rPr>
            </w:pPr>
            <w:r>
              <w:rPr>
                <w:rFonts w:ascii="Arial" w:cs="Arial" w:eastAsia="Arial" w:hAnsi="Arial"/>
                <w:sz w:val="18"/>
                <w:szCs w:val="18"/>
                <w:color w:val="auto"/>
              </w:rPr>
              <w:t>receivable</w:t>
            </w:r>
          </w:p>
        </w:tc>
        <w:tc>
          <w:tcPr>
            <w:tcW w:w="26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380" w:type="dxa"/>
            <w:vAlign w:val="bottom"/>
          </w:tcPr>
          <w:p>
            <w:pPr>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248,762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29,681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269,639</w:t>
            </w:r>
          </w:p>
        </w:tc>
        <w:tc>
          <w:tcPr>
            <w:tcW w:w="0" w:type="dxa"/>
            <w:vAlign w:val="bottom"/>
          </w:tcPr>
          <w:p>
            <w:pPr>
              <w:spacing w:after="0"/>
              <w:rPr>
                <w:sz w:val="1"/>
                <w:szCs w:val="1"/>
                <w:color w:val="auto"/>
              </w:rPr>
            </w:pPr>
          </w:p>
        </w:tc>
      </w:tr>
      <w:tr>
        <w:trPr>
          <w:trHeight w:val="20"/>
        </w:trPr>
        <w:tc>
          <w:tcPr>
            <w:tcW w:w="3380" w:type="dxa"/>
            <w:vAlign w:val="bottom"/>
            <w:vMerge w:val="restart"/>
          </w:tcPr>
          <w:p>
            <w:pPr>
              <w:ind w:left="2220"/>
              <w:spacing w:after="0"/>
              <w:rPr>
                <w:sz w:val="20"/>
                <w:szCs w:val="20"/>
                <w:color w:val="auto"/>
              </w:rPr>
            </w:pPr>
            <w:r>
              <w:rPr>
                <w:rFonts w:ascii="Arial" w:cs="Arial" w:eastAsia="Arial" w:hAnsi="Arial"/>
                <w:sz w:val="18"/>
                <w:szCs w:val="18"/>
                <w:color w:val="auto"/>
              </w:rPr>
              <w:t>% Revenue</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33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30.7 %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18.5 %</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15.4 %</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20"/>
          </w:cols>
          <w:pgMar w:left="340" w:top="1440" w:right="339" w:bottom="1440" w:gutter="0" w:footer="0" w:header="0"/>
        </w:sectPr>
      </w:pPr>
    </w:p>
    <w:bookmarkStart w:id="23" w:name="page24"/>
    <w:bookmarkEnd w:id="23"/>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Revenue, net</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Operating Income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Revenue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Adjusting Items:</w:t>
      </w:r>
    </w:p>
    <w:p>
      <w:pPr>
        <w:spacing w:after="0" w:line="63" w:lineRule="exact"/>
        <w:rPr>
          <w:sz w:val="20"/>
          <w:szCs w:val="20"/>
          <w:color w:val="auto"/>
        </w:rPr>
      </w:pPr>
    </w:p>
    <w:p>
      <w:pPr>
        <w:ind w:left="220" w:right="440"/>
        <w:spacing w:after="0" w:line="298" w:lineRule="auto"/>
        <w:rPr>
          <w:sz w:val="20"/>
          <w:szCs w:val="20"/>
          <w:color w:val="auto"/>
        </w:rPr>
      </w:pPr>
      <w:r>
        <w:rPr>
          <w:rFonts w:ascii="Arial" w:cs="Arial" w:eastAsia="Arial" w:hAnsi="Arial"/>
          <w:sz w:val="17"/>
          <w:szCs w:val="17"/>
          <w:color w:val="auto"/>
        </w:rPr>
        <w:t>Fair value change in contingent consideration liability</w:t>
      </w:r>
    </w:p>
    <w:p>
      <w:pPr>
        <w:spacing w:after="0" w:line="1" w:lineRule="exact"/>
        <w:rPr>
          <w:sz w:val="20"/>
          <w:szCs w:val="20"/>
          <w:color w:val="auto"/>
        </w:rPr>
      </w:pPr>
    </w:p>
    <w:p>
      <w:pPr>
        <w:ind w:left="220" w:right="520"/>
        <w:spacing w:after="0" w:line="287" w:lineRule="auto"/>
        <w:rPr>
          <w:sz w:val="20"/>
          <w:szCs w:val="20"/>
          <w:color w:val="auto"/>
        </w:rPr>
      </w:pPr>
      <w:r>
        <w:rPr>
          <w:rFonts w:ascii="Arial" w:cs="Arial" w:eastAsia="Arial" w:hAnsi="Arial"/>
          <w:sz w:val="18"/>
          <w:szCs w:val="18"/>
          <w:color w:val="auto"/>
        </w:rPr>
        <w:t>Acquisition-related transaction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Adjusted Operating Income</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Revenue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Adjusting Items:</w:t>
      </w:r>
    </w:p>
    <w:p>
      <w:pPr>
        <w:spacing w:after="0" w:line="63" w:lineRule="exact"/>
        <w:rPr>
          <w:sz w:val="20"/>
          <w:szCs w:val="20"/>
          <w:color w:val="auto"/>
        </w:rPr>
      </w:pPr>
    </w:p>
    <w:p>
      <w:pPr>
        <w:ind w:left="220" w:right="660"/>
        <w:spacing w:after="0" w:line="331" w:lineRule="auto"/>
        <w:rPr>
          <w:sz w:val="20"/>
          <w:szCs w:val="20"/>
          <w:color w:val="auto"/>
        </w:rPr>
      </w:pPr>
      <w:r>
        <w:rPr>
          <w:rFonts w:ascii="Arial" w:cs="Arial" w:eastAsia="Arial" w:hAnsi="Arial"/>
          <w:sz w:val="17"/>
          <w:szCs w:val="17"/>
          <w:color w:val="auto"/>
        </w:rPr>
        <w:t>Other income (expense), net Depreciation &amp; amortization</w:t>
      </w:r>
    </w:p>
    <w:p>
      <w:pPr>
        <w:spacing w:after="0" w:line="1" w:lineRule="exact"/>
        <w:rPr>
          <w:sz w:val="20"/>
          <w:szCs w:val="20"/>
          <w:color w:val="auto"/>
        </w:rPr>
      </w:pPr>
    </w:p>
    <w:p>
      <w:pPr>
        <w:ind w:left="220" w:right="480"/>
        <w:spacing w:after="0" w:line="287" w:lineRule="auto"/>
        <w:rPr>
          <w:sz w:val="20"/>
          <w:szCs w:val="20"/>
          <w:color w:val="auto"/>
        </w:rPr>
      </w:pPr>
      <w:r>
        <w:rPr>
          <w:rFonts w:ascii="Arial" w:cs="Arial" w:eastAsia="Arial" w:hAnsi="Arial"/>
          <w:sz w:val="18"/>
          <w:szCs w:val="18"/>
          <w:color w:val="auto"/>
        </w:rPr>
        <w:t>Reversal of tax indemnification receivable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Revenue</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Year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34925</wp:posOffset>
            </wp:positionV>
            <wp:extent cx="4972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-144780</wp:posOffset>
            </wp:positionV>
            <wp:extent cx="49720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9"/>
              </w:rPr>
              <w:t>Specialized</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Contractor</w:t>
            </w:r>
          </w:p>
        </w:tc>
        <w:tc>
          <w:tcPr>
            <w:tcW w:w="240" w:type="dxa"/>
            <w:vAlign w:val="bottom"/>
          </w:tcPr>
          <w:p>
            <w:pPr>
              <w:spacing w:after="0"/>
              <w:rPr>
                <w:sz w:val="18"/>
                <w:szCs w:val="18"/>
                <w:color w:val="auto"/>
              </w:rPr>
            </w:pPr>
          </w:p>
        </w:tc>
        <w:tc>
          <w:tcPr>
            <w:tcW w:w="1340" w:type="dxa"/>
            <w:vAlign w:val="bottom"/>
          </w:tcPr>
          <w:p>
            <w:pPr>
              <w:jc w:val="center"/>
              <w:ind w:right="130"/>
              <w:spacing w:after="0"/>
              <w:rPr>
                <w:sz w:val="20"/>
                <w:szCs w:val="20"/>
                <w:color w:val="auto"/>
              </w:rPr>
            </w:pPr>
            <w:r>
              <w:rPr>
                <w:rFonts w:ascii="Arial" w:cs="Arial" w:eastAsia="Arial" w:hAnsi="Arial"/>
                <w:sz w:val="18"/>
                <w:szCs w:val="18"/>
                <w:color w:val="auto"/>
                <w:w w:val="98"/>
              </w:rPr>
              <w:t>Reliability</w:t>
            </w:r>
          </w:p>
        </w:tc>
        <w:tc>
          <w:tcPr>
            <w:tcW w:w="240" w:type="dxa"/>
            <w:vAlign w:val="bottom"/>
          </w:tcPr>
          <w:p>
            <w:pPr>
              <w:spacing w:after="0"/>
              <w:rPr>
                <w:sz w:val="18"/>
                <w:szCs w:val="18"/>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Engineered</w:t>
            </w:r>
          </w:p>
        </w:tc>
        <w:tc>
          <w:tcPr>
            <w:tcW w:w="14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w w:val="99"/>
              </w:rPr>
              <w:t>Corporate and</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9"/>
        </w:trPr>
        <w:tc>
          <w:tcPr>
            <w:tcW w:w="260" w:type="dxa"/>
            <w:vAlign w:val="bottom"/>
          </w:tcPr>
          <w:p>
            <w:pPr>
              <w:spacing w:after="0"/>
              <w:rPr>
                <w:sz w:val="20"/>
                <w:szCs w:val="20"/>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Solutions</w:t>
            </w:r>
          </w:p>
        </w:tc>
        <w:tc>
          <w:tcPr>
            <w:tcW w:w="240" w:type="dxa"/>
            <w:vAlign w:val="bottom"/>
          </w:tcPr>
          <w:p>
            <w:pPr>
              <w:spacing w:after="0"/>
              <w:rPr>
                <w:sz w:val="20"/>
                <w:szCs w:val="20"/>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9"/>
              </w:rPr>
              <w:t>Solutions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Building Solutions</w:t>
            </w:r>
          </w:p>
        </w:tc>
        <w:tc>
          <w:tcPr>
            <w:tcW w:w="140" w:type="dxa"/>
            <w:vAlign w:val="bottom"/>
          </w:tcPr>
          <w:p>
            <w:pPr>
              <w:spacing w:after="0"/>
              <w:rPr>
                <w:sz w:val="20"/>
                <w:szCs w:val="20"/>
                <w:color w:val="auto"/>
              </w:rPr>
            </w:pPr>
          </w:p>
        </w:tc>
        <w:tc>
          <w:tcPr>
            <w:tcW w:w="1300" w:type="dxa"/>
            <w:vAlign w:val="bottom"/>
          </w:tcPr>
          <w:p>
            <w:pPr>
              <w:jc w:val="right"/>
              <w:ind w:right="41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Consolidated</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617,331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147,641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121,119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(7,791)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878,301</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483"/>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165,893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22,673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19,187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(26,505)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181,248</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1"/>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26.9 %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20.6 %</w:t>
            </w:r>
          </w:p>
        </w:tc>
      </w:tr>
      <w:tr>
        <w:trPr>
          <w:trHeight w:val="1026"/>
        </w:trPr>
        <w:tc>
          <w:tcPr>
            <w:tcW w:w="2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2,100</w:t>
            </w:r>
          </w:p>
        </w:tc>
        <w:tc>
          <w:tcPr>
            <w:tcW w:w="2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2,100</w:t>
            </w:r>
          </w:p>
        </w:tc>
      </w:tr>
      <w:tr>
        <w:trPr>
          <w:trHeight w:val="486"/>
        </w:trPr>
        <w:tc>
          <w:tcPr>
            <w:tcW w:w="2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2,294</w:t>
            </w:r>
          </w:p>
        </w:tc>
        <w:tc>
          <w:tcPr>
            <w:tcW w:w="2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2,294</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170,287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22,673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19,187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(26,505)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185,641</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1"/>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21.1 %</w:t>
            </w:r>
          </w:p>
        </w:tc>
      </w:tr>
      <w:tr>
        <w:trPr>
          <w:trHeight w:val="810"/>
        </w:trPr>
        <w:tc>
          <w:tcPr>
            <w:tcW w:w="260" w:type="dxa"/>
            <w:vAlign w:val="bottom"/>
          </w:tcPr>
          <w:p>
            <w:pPr>
              <w:spacing w:after="0"/>
              <w:rPr>
                <w:sz w:val="24"/>
                <w:szCs w:val="24"/>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(265)</w:t>
            </w:r>
          </w:p>
        </w:tc>
        <w:tc>
          <w:tcPr>
            <w:tcW w:w="22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(862)</w:t>
            </w:r>
          </w:p>
        </w:tc>
      </w:tr>
      <w:tr>
        <w:trPr>
          <w:trHeight w:val="270"/>
        </w:trPr>
        <w:tc>
          <w:tcPr>
            <w:tcW w:w="260" w:type="dxa"/>
            <w:vAlign w:val="bottom"/>
          </w:tcPr>
          <w:p>
            <w:pPr>
              <w:spacing w:after="0"/>
              <w:rPr>
                <w:sz w:val="23"/>
                <w:szCs w:val="23"/>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34,666</w:t>
            </w:r>
          </w:p>
        </w:tc>
        <w:tc>
          <w:tcPr>
            <w:tcW w:w="240" w:type="dxa"/>
            <w:vAlign w:val="bottom"/>
          </w:tcPr>
          <w:p>
            <w:pPr>
              <w:spacing w:after="0"/>
              <w:rPr>
                <w:sz w:val="23"/>
                <w:szCs w:val="23"/>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5,553</w:t>
            </w:r>
          </w:p>
        </w:tc>
        <w:tc>
          <w:tcPr>
            <w:tcW w:w="240" w:type="dxa"/>
            <w:vAlign w:val="bottom"/>
          </w:tcPr>
          <w:p>
            <w:pPr>
              <w:spacing w:after="0"/>
              <w:rPr>
                <w:sz w:val="23"/>
                <w:szCs w:val="23"/>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1,826</w:t>
            </w:r>
          </w:p>
        </w:tc>
        <w:tc>
          <w:tcPr>
            <w:tcW w:w="1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3"/>
                <w:szCs w:val="23"/>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42,223</w:t>
            </w:r>
          </w:p>
        </w:tc>
      </w:tr>
      <w:tr>
        <w:trPr>
          <w:trHeight w:val="486"/>
        </w:trPr>
        <w:tc>
          <w:tcPr>
            <w:tcW w:w="2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858</w:t>
            </w:r>
          </w:p>
        </w:tc>
        <w:tc>
          <w:tcPr>
            <w:tcW w:w="240" w:type="dxa"/>
            <w:vAlign w:val="bottom"/>
          </w:tcPr>
          <w:p>
            <w:pPr>
              <w:spacing w:after="0"/>
              <w:rPr>
                <w:sz w:val="24"/>
                <w:szCs w:val="24"/>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858</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0"/>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205,440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27,993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(26,593)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227,860</w:t>
            </w:r>
          </w:p>
        </w:tc>
      </w:tr>
      <w:tr>
        <w:trPr>
          <w:trHeight w:val="23"/>
        </w:trPr>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0"/>
        </w:trPr>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33.3 %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19.0 %</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17.4 %</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25.9 %</w:t>
            </w:r>
          </w:p>
        </w:tc>
      </w:tr>
    </w:tbl>
    <w:p>
      <w:pPr>
        <w:spacing w:after="0" w:line="200" w:lineRule="exact"/>
        <w:rPr>
          <w:sz w:val="20"/>
          <w:szCs w:val="20"/>
          <w:color w:val="auto"/>
        </w:rPr>
      </w:pPr>
    </w:p>
    <w:p>
      <w:pPr>
        <w:sectPr>
          <w:pgSz w:w="11900" w:h="16838" w:orient="portrait"/>
          <w:cols w:equalWidth="0" w:num="2">
            <w:col w:w="3160" w:space="220"/>
            <w:col w:w="7840"/>
          </w:cols>
          <w:pgMar w:left="340" w:top="1440"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Operating Cash Flow to Free Cash Flow</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55"/>
        </w:trPr>
        <w:tc>
          <w:tcPr>
            <w:tcW w:w="5240" w:type="dxa"/>
            <w:vAlign w:val="bottom"/>
          </w:tcPr>
          <w:p>
            <w:pPr>
              <w:spacing w:after="0"/>
              <w:rPr>
                <w:sz w:val="20"/>
                <w:szCs w:val="20"/>
                <w:color w:val="auto"/>
              </w:rPr>
            </w:pPr>
            <w:r>
              <w:rPr>
                <w:rFonts w:ascii="Arial" w:cs="Arial" w:eastAsia="Arial" w:hAnsi="Arial"/>
                <w:sz w:val="16"/>
                <w:szCs w:val="16"/>
                <w:color w:val="auto"/>
              </w:rPr>
              <w:t>(Amounts in thousands)</w:t>
            </w:r>
          </w:p>
        </w:tc>
        <w:tc>
          <w:tcPr>
            <w:tcW w:w="292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Pr>
          <w:p>
            <w:pPr>
              <w:spacing w:after="0"/>
              <w:rPr>
                <w:sz w:val="22"/>
                <w:szCs w:val="22"/>
                <w:color w:val="auto"/>
              </w:rPr>
            </w:pPr>
          </w:p>
        </w:tc>
        <w:tc>
          <w:tcPr>
            <w:tcW w:w="2520" w:type="dxa"/>
            <w:vAlign w:val="bottom"/>
            <w:gridSpan w:val="4"/>
          </w:tcPr>
          <w:p>
            <w:pPr>
              <w:ind w:left="200"/>
              <w:spacing w:after="0"/>
              <w:rPr>
                <w:sz w:val="20"/>
                <w:szCs w:val="20"/>
                <w:color w:val="auto"/>
              </w:rPr>
            </w:pPr>
            <w:r>
              <w:rPr>
                <w:rFonts w:ascii="Arial" w:cs="Arial" w:eastAsia="Arial" w:hAnsi="Arial"/>
                <w:sz w:val="18"/>
                <w:szCs w:val="18"/>
                <w:b w:val="1"/>
                <w:bCs w:val="1"/>
                <w:color w:val="auto"/>
              </w:rPr>
              <w:t>Year Ended March 31,</w:t>
            </w: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2026</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0" w:type="dxa"/>
            <w:vAlign w:val="bottom"/>
          </w:tcPr>
          <w:p>
            <w:pPr>
              <w:spacing w:after="0"/>
              <w:rPr>
                <w:sz w:val="1"/>
                <w:szCs w:val="1"/>
                <w:color w:val="auto"/>
              </w:rPr>
            </w:pPr>
          </w:p>
        </w:tc>
      </w:tr>
      <w:tr>
        <w:trPr>
          <w:trHeight w:val="247"/>
        </w:trPr>
        <w:tc>
          <w:tcPr>
            <w:tcW w:w="52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(1,682)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27,293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149,653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168,362</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Less: Capital expenditures</w:t>
            </w:r>
          </w:p>
        </w:tc>
        <w:tc>
          <w:tcPr>
            <w:tcW w:w="3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(5,127)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(4,531)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ind w:left="200"/>
              <w:spacing w:after="0"/>
              <w:rPr>
                <w:sz w:val="20"/>
                <w:szCs w:val="20"/>
                <w:color w:val="auto"/>
              </w:rPr>
            </w:pPr>
            <w:r>
              <w:rPr>
                <w:rFonts w:ascii="Arial" w:cs="Arial" w:eastAsia="Arial" w:hAnsi="Arial"/>
                <w:sz w:val="18"/>
                <w:szCs w:val="18"/>
                <w:color w:val="auto"/>
              </w:rPr>
              <w:t>(17,257)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(16,266)</w:t>
            </w: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Pr>
          <w:p>
            <w:pPr>
              <w:spacing w:after="0"/>
              <w:rPr>
                <w:sz w:val="20"/>
                <w:szCs w:val="20"/>
                <w:color w:val="auto"/>
              </w:rPr>
            </w:pPr>
            <w:r>
              <w:rPr>
                <w:rFonts w:ascii="Arial" w:cs="Arial" w:eastAsia="Arial" w:hAnsi="Arial"/>
                <w:sz w:val="18"/>
                <w:szCs w:val="18"/>
                <w:color w:val="auto"/>
              </w:rPr>
              <w:t>Free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(6,809)</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22,762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132,396</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152,096</w:t>
            </w:r>
          </w:p>
        </w:tc>
        <w:tc>
          <w:tcPr>
            <w:tcW w:w="0" w:type="dxa"/>
            <w:vAlign w:val="bottom"/>
          </w:tcPr>
          <w:p>
            <w:pPr>
              <w:spacing w:after="0"/>
              <w:rPr>
                <w:sz w:val="1"/>
                <w:szCs w:val="1"/>
                <w:color w:val="auto"/>
              </w:rPr>
            </w:pPr>
          </w:p>
        </w:tc>
      </w:tr>
      <w:tr>
        <w:trPr>
          <w:trHeight w:val="21"/>
        </w:trPr>
        <w:tc>
          <w:tcPr>
            <w:tcW w:w="52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524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82,927</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59,758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269,639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0"/>
              <w:spacing w:after="0"/>
              <w:rPr>
                <w:sz w:val="20"/>
                <w:szCs w:val="20"/>
                <w:color w:val="auto"/>
              </w:rPr>
            </w:pPr>
            <w:r>
              <w:rPr>
                <w:rFonts w:ascii="Arial" w:cs="Arial" w:eastAsia="Arial" w:hAnsi="Arial"/>
                <w:sz w:val="18"/>
                <w:szCs w:val="18"/>
                <w:color w:val="auto"/>
              </w:rPr>
              <w:t>227,860</w:t>
            </w:r>
          </w:p>
        </w:tc>
        <w:tc>
          <w:tcPr>
            <w:tcW w:w="0" w:type="dxa"/>
            <w:vAlign w:val="bottom"/>
          </w:tcPr>
          <w:p>
            <w:pPr>
              <w:spacing w:after="0"/>
              <w:rPr>
                <w:sz w:val="1"/>
                <w:szCs w:val="1"/>
                <w:color w:val="auto"/>
              </w:rPr>
            </w:pPr>
          </w:p>
        </w:tc>
      </w:tr>
      <w:tr>
        <w:trPr>
          <w:trHeight w:val="270"/>
        </w:trPr>
        <w:tc>
          <w:tcPr>
            <w:tcW w:w="5240" w:type="dxa"/>
            <w:vAlign w:val="bottom"/>
          </w:tcPr>
          <w:p>
            <w:pPr>
              <w:spacing w:after="0"/>
              <w:rPr>
                <w:sz w:val="20"/>
                <w:szCs w:val="20"/>
                <w:color w:val="auto"/>
              </w:rPr>
            </w:pPr>
            <w:r>
              <w:rPr>
                <w:rFonts w:ascii="Arial" w:cs="Arial" w:eastAsia="Arial" w:hAnsi="Arial"/>
                <w:sz w:val="18"/>
                <w:szCs w:val="18"/>
                <w:color w:val="auto"/>
              </w:rPr>
              <w:t>Free cash flow % Adj. EBITDA</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49.1 %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20"/>
          </w:cols>
          <w:pgMar w:left="340" w:top="1440" w:right="339" w:bottom="1440" w:gutter="0" w:footer="0" w:header="0"/>
          <w:type w:val="continuous"/>
        </w:sectPr>
      </w:pPr>
    </w:p>
    <w:bookmarkStart w:id="24" w:name="page25"/>
    <w:bookmarkEnd w:id="24"/>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Adjusted CSW to Adjusted CSW excluding Greco</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1320800</wp:posOffset>
            </wp:positionH>
            <wp:positionV relativeFrom="paragraph">
              <wp:posOffset>34925</wp:posOffset>
            </wp:positionV>
            <wp:extent cx="58032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0326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tcPr>
          <w:p>
            <w:pPr>
              <w:spacing w:after="0"/>
              <w:rPr>
                <w:sz w:val="20"/>
                <w:szCs w:val="20"/>
                <w:color w:val="auto"/>
              </w:rPr>
            </w:pPr>
            <w:r>
              <w:rPr>
                <w:rFonts w:ascii="Arial" w:cs="Arial" w:eastAsia="Arial" w:hAnsi="Arial"/>
                <w:sz w:val="16"/>
                <w:szCs w:val="16"/>
                <w:color w:val="auto"/>
              </w:rPr>
              <w:t>(Amounts in thousands)</w:t>
            </w: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02"/>
        </w:trPr>
        <w:tc>
          <w:tcPr>
            <w:tcW w:w="2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6"/>
                <w:szCs w:val="16"/>
                <w:color w:val="auto"/>
              </w:rPr>
              <w:t>CSW Consolidated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r>
      <w:tr>
        <w:trPr>
          <w:trHeight w:val="237"/>
        </w:trPr>
        <w:tc>
          <w:tcPr>
            <w:tcW w:w="20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00" w:type="dxa"/>
            <w:vAlign w:val="bottom"/>
            <w:gridSpan w:val="2"/>
          </w:tcPr>
          <w:p>
            <w:pPr>
              <w:ind w:left="40"/>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rPr>
              <w:t>excluding Greco</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6"/>
                <w:szCs w:val="16"/>
                <w:color w:val="auto"/>
              </w:rPr>
              <w:t>excluding Greco</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Revenues, net</w:t>
            </w:r>
          </w:p>
        </w:tc>
        <w:tc>
          <w:tcPr>
            <w:tcW w:w="380" w:type="dxa"/>
            <w:vAlign w:val="bottom"/>
            <w:tcBorders>
              <w:top w:val="single" w:sz="8" w:color="auto"/>
            </w:tcBorders>
          </w:tcPr>
          <w:p>
            <w:pPr>
              <w:jc w:val="right"/>
              <w:ind w:right="173"/>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308,960</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5,903</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303,057</w:t>
            </w:r>
          </w:p>
        </w:tc>
        <w:tc>
          <w:tcPr>
            <w:tcW w:w="140" w:type="dxa"/>
            <w:vAlign w:val="bottom"/>
          </w:tcPr>
          <w:p>
            <w:pPr>
              <w:spacing w:after="0"/>
              <w:rPr>
                <w:sz w:val="21"/>
                <w:szCs w:val="21"/>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230,549</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9,058</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221,491</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80" w:type="dxa"/>
            <w:vAlign w:val="bottom"/>
          </w:tcPr>
          <w:p>
            <w:pPr>
              <w:spacing w:after="0"/>
              <w:rPr>
                <w:sz w:val="23"/>
                <w:szCs w:val="23"/>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82,927</w:t>
            </w:r>
          </w:p>
        </w:tc>
        <w:tc>
          <w:tcPr>
            <w:tcW w:w="32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(751)</w:t>
            </w:r>
          </w:p>
        </w:tc>
        <w:tc>
          <w:tcPr>
            <w:tcW w:w="14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83,678</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59,758</w:t>
            </w:r>
          </w:p>
        </w:tc>
        <w:tc>
          <w:tcPr>
            <w:tcW w:w="34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3"/>
                <w:szCs w:val="23"/>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59,783</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 Margin</w:t>
            </w:r>
          </w:p>
        </w:tc>
        <w:tc>
          <w:tcPr>
            <w:tcW w:w="3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26.8 %</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27.6 %</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27.0 %</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Amortization Adjusted</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auto"/>
              </w:rPr>
              <w:t>EPS</w:t>
            </w:r>
          </w:p>
        </w:tc>
        <w:tc>
          <w:tcPr>
            <w:tcW w:w="380" w:type="dxa"/>
            <w:vAlign w:val="bottom"/>
          </w:tcPr>
          <w:p>
            <w:pPr>
              <w:jc w:val="right"/>
              <w:ind w:right="173"/>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3.14</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2.59</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2.61</w:t>
            </w: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March 31,</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63"/>
        </w:trPr>
        <w:tc>
          <w:tcPr>
            <w:tcW w:w="2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2026</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r>
      <w:tr>
        <w:trPr>
          <w:trHeight w:val="202"/>
        </w:trPr>
        <w:tc>
          <w:tcPr>
            <w:tcW w:w="2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60" w:type="dxa"/>
            <w:vAlign w:val="bottom"/>
            <w:gridSpan w:val="3"/>
          </w:tcPr>
          <w:p>
            <w:pPr>
              <w:jc w:val="center"/>
              <w:ind w:right="140"/>
              <w:spacing w:after="0"/>
              <w:rPr>
                <w:sz w:val="20"/>
                <w:szCs w:val="20"/>
                <w:color w:val="auto"/>
              </w:rPr>
            </w:pPr>
            <w:r>
              <w:rPr>
                <w:rFonts w:ascii="Arial" w:cs="Arial" w:eastAsia="Arial" w:hAnsi="Arial"/>
                <w:sz w:val="16"/>
                <w:szCs w:val="16"/>
                <w:color w:val="auto"/>
              </w:rPr>
              <w:t>CSW Consolidated</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r>
      <w:tr>
        <w:trPr>
          <w:trHeight w:val="237"/>
        </w:trPr>
        <w:tc>
          <w:tcPr>
            <w:tcW w:w="208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00" w:type="dxa"/>
            <w:vAlign w:val="bottom"/>
            <w:gridSpan w:val="2"/>
          </w:tcPr>
          <w:p>
            <w:pPr>
              <w:ind w:left="40"/>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color w:val="auto"/>
              </w:rPr>
              <w:t>excluding Greco</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CSW Consolidated</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Greco Consolidated</w:t>
            </w:r>
          </w:p>
        </w:tc>
        <w:tc>
          <w:tcPr>
            <w:tcW w:w="140" w:type="dxa"/>
            <w:vAlign w:val="bottom"/>
          </w:tcPr>
          <w:p>
            <w:pPr>
              <w:spacing w:after="0"/>
              <w:rPr>
                <w:sz w:val="20"/>
                <w:szCs w:val="20"/>
                <w:color w:val="auto"/>
              </w:rPr>
            </w:pPr>
          </w:p>
        </w:tc>
        <w:tc>
          <w:tcPr>
            <w:tcW w:w="1340" w:type="dxa"/>
            <w:vAlign w:val="bottom"/>
          </w:tcPr>
          <w:p>
            <w:pPr>
              <w:jc w:val="right"/>
              <w:ind w:right="72"/>
              <w:spacing w:after="0"/>
              <w:rPr>
                <w:sz w:val="20"/>
                <w:szCs w:val="20"/>
                <w:color w:val="auto"/>
              </w:rPr>
            </w:pPr>
            <w:r>
              <w:rPr>
                <w:rFonts w:ascii="Arial" w:cs="Arial" w:eastAsia="Arial" w:hAnsi="Arial"/>
                <w:sz w:val="16"/>
                <w:szCs w:val="16"/>
                <w:color w:val="auto"/>
              </w:rPr>
              <w:t>excluding Greco</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Revenues, net</w:t>
            </w: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1,082,549</w:t>
            </w: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33,450</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1,049,100</w:t>
            </w:r>
          </w:p>
        </w:tc>
        <w:tc>
          <w:tcPr>
            <w:tcW w:w="140" w:type="dxa"/>
            <w:vAlign w:val="bottom"/>
          </w:tcPr>
          <w:p>
            <w:pPr>
              <w:spacing w:after="0"/>
              <w:rPr>
                <w:sz w:val="21"/>
                <w:szCs w:val="21"/>
                <w:color w:val="auto"/>
              </w:rPr>
            </w:pPr>
          </w:p>
        </w:tc>
        <w:tc>
          <w:tcPr>
            <w:tcW w:w="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878,301</w:t>
            </w:r>
          </w:p>
        </w:tc>
        <w:tc>
          <w:tcPr>
            <w:tcW w:w="340" w:type="dxa"/>
            <w:vAlign w:val="bottom"/>
            <w:tcBorders>
              <w:top w:val="single" w:sz="8" w:color="auto"/>
            </w:tcBorders>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39,529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838,771</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w:t>
            </w:r>
          </w:p>
        </w:tc>
        <w:tc>
          <w:tcPr>
            <w:tcW w:w="300" w:type="dxa"/>
            <w:vAlign w:val="bottom"/>
          </w:tcPr>
          <w:p>
            <w:pPr>
              <w:spacing w:after="0"/>
              <w:rPr>
                <w:sz w:val="23"/>
                <w:szCs w:val="23"/>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269,638</w:t>
            </w:r>
          </w:p>
        </w:tc>
        <w:tc>
          <w:tcPr>
            <w:tcW w:w="32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23"/>
                <w:szCs w:val="23"/>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270,045</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227,860</w:t>
            </w:r>
          </w:p>
        </w:tc>
        <w:tc>
          <w:tcPr>
            <w:tcW w:w="340" w:type="dxa"/>
            <w:vAlign w:val="bottom"/>
          </w:tcPr>
          <w:p>
            <w:pPr>
              <w:spacing w:after="0"/>
              <w:rPr>
                <w:sz w:val="23"/>
                <w:szCs w:val="23"/>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3,950</w:t>
            </w:r>
          </w:p>
        </w:tc>
        <w:tc>
          <w:tcPr>
            <w:tcW w:w="140" w:type="dxa"/>
            <w:vAlign w:val="bottom"/>
          </w:tcPr>
          <w:p>
            <w:pPr>
              <w:spacing w:after="0"/>
              <w:rPr>
                <w:sz w:val="23"/>
                <w:szCs w:val="23"/>
                <w:color w:val="auto"/>
              </w:rPr>
            </w:pP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223,910</w:t>
            </w: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rPr>
              <w:t>Adjusted EBITDA Margin</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24.9 %</w:t>
            </w:r>
          </w:p>
        </w:tc>
        <w:tc>
          <w:tcPr>
            <w:tcW w:w="32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4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i w:val="1"/>
                <w:iCs w:val="1"/>
                <w:color w:val="auto"/>
              </w:rPr>
              <w:t>25.7 %</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i w:val="1"/>
                <w:iCs w:val="1"/>
                <w:color w:val="auto"/>
              </w:rPr>
              <w:t>25.9 %</w:t>
            </w:r>
          </w:p>
        </w:tc>
        <w:tc>
          <w:tcPr>
            <w:tcW w:w="3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i w:val="1"/>
                <w:iCs w:val="1"/>
                <w:color w:val="auto"/>
              </w:rPr>
              <w:t>10.0 %</w:t>
            </w: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26.7 %</w:t>
            </w:r>
          </w:p>
        </w:tc>
      </w:tr>
      <w:tr>
        <w:trPr>
          <w:trHeight w:val="247"/>
        </w:trPr>
        <w:tc>
          <w:tcPr>
            <w:tcW w:w="2080" w:type="dxa"/>
            <w:vAlign w:val="bottom"/>
          </w:tcPr>
          <w:p>
            <w:pPr>
              <w:spacing w:after="0"/>
              <w:rPr>
                <w:sz w:val="20"/>
                <w:szCs w:val="20"/>
                <w:color w:val="auto"/>
              </w:rPr>
            </w:pPr>
            <w:r>
              <w:rPr>
                <w:rFonts w:ascii="Arial" w:cs="Arial" w:eastAsia="Arial" w:hAnsi="Arial"/>
                <w:sz w:val="18"/>
                <w:szCs w:val="18"/>
                <w:color w:val="auto"/>
              </w:rPr>
              <w:t>Amortization Adjusted</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39"/>
        </w:trPr>
        <w:tc>
          <w:tcPr>
            <w:tcW w:w="2080" w:type="dxa"/>
            <w:vAlign w:val="bottom"/>
          </w:tcPr>
          <w:p>
            <w:pPr>
              <w:spacing w:after="0"/>
              <w:rPr>
                <w:sz w:val="20"/>
                <w:szCs w:val="20"/>
                <w:color w:val="auto"/>
              </w:rPr>
            </w:pPr>
            <w:r>
              <w:rPr>
                <w:rFonts w:ascii="Arial" w:cs="Arial" w:eastAsia="Arial" w:hAnsi="Arial"/>
                <w:sz w:val="18"/>
                <w:szCs w:val="18"/>
                <w:color w:val="auto"/>
              </w:rPr>
              <w:t>EPS</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10.38</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(0.08)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10.46</w:t>
            </w:r>
          </w:p>
        </w:tc>
        <w:tc>
          <w:tcPr>
            <w:tcW w:w="140" w:type="dxa"/>
            <w:vAlign w:val="bottom"/>
          </w:tcPr>
          <w:p>
            <w:pPr>
              <w:spacing w:after="0"/>
              <w:rPr>
                <w:sz w:val="20"/>
                <w:szCs w:val="20"/>
                <w:color w:val="auto"/>
              </w:rPr>
            </w:pPr>
          </w:p>
        </w:tc>
        <w:tc>
          <w:tcPr>
            <w:tcW w:w="340" w:type="dxa"/>
            <w:vAlign w:val="bottom"/>
          </w:tcPr>
          <w:p>
            <w:pPr>
              <w:jc w:val="right"/>
              <w:ind w:right="153"/>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9.71</w:t>
            </w:r>
          </w:p>
        </w:tc>
        <w:tc>
          <w:tcPr>
            <w:tcW w:w="340" w:type="dxa"/>
            <w:vAlign w:val="bottom"/>
          </w:tcPr>
          <w:p>
            <w:pPr>
              <w:jc w:val="right"/>
              <w:ind w:right="133"/>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2"/>
              <w:spacing w:after="0"/>
              <w:rPr>
                <w:sz w:val="20"/>
                <w:szCs w:val="20"/>
                <w:color w:val="auto"/>
              </w:rPr>
            </w:pPr>
            <w:r>
              <w:rPr>
                <w:rFonts w:ascii="Arial" w:cs="Arial" w:eastAsia="Arial" w:hAnsi="Arial"/>
                <w:sz w:val="18"/>
                <w:szCs w:val="18"/>
                <w:color w:val="auto"/>
              </w:rPr>
              <w:t>9.59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20"/>
          </w:cols>
          <w:pgMar w:left="340" w:top="1440" w:right="339" w:bottom="1440" w:gutter="0" w:footer="0" w:header="0"/>
        </w:sectPr>
      </w:pPr>
    </w:p>
    <w:bookmarkStart w:id="25" w:name="page26"/>
    <w:bookmarkEnd w:id="25"/>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Reconciliation of Adjusted EBS to Adjusted EBS excluding Greco</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34925</wp:posOffset>
            </wp:positionV>
            <wp:extent cx="59575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5757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40" w:type="dxa"/>
            <w:vAlign w:val="bottom"/>
          </w:tcPr>
          <w:p>
            <w:pPr>
              <w:spacing w:after="0"/>
              <w:rPr>
                <w:sz w:val="20"/>
                <w:szCs w:val="20"/>
                <w:color w:val="auto"/>
              </w:rPr>
            </w:pPr>
            <w:r>
              <w:rPr>
                <w:rFonts w:ascii="Arial" w:cs="Arial" w:eastAsia="Arial" w:hAnsi="Arial"/>
                <w:sz w:val="16"/>
                <w:szCs w:val="16"/>
                <w:color w:val="auto"/>
              </w:rPr>
              <w:t>(Amounts in thousands)</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EBS, excluding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w w:val="98"/>
              </w:rPr>
              <w:t>EBS, excluding</w:t>
            </w: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Greco</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Greco</w:t>
            </w:r>
          </w:p>
        </w:tc>
        <w:tc>
          <w:tcPr>
            <w:tcW w:w="0" w:type="dxa"/>
            <w:vAlign w:val="bottom"/>
          </w:tcPr>
          <w:p>
            <w:pPr>
              <w:spacing w:after="0"/>
              <w:rPr>
                <w:sz w:val="1"/>
                <w:szCs w:val="1"/>
                <w:color w:val="auto"/>
              </w:rPr>
            </w:pPr>
          </w:p>
        </w:tc>
      </w:tr>
      <w:tr>
        <w:trPr>
          <w:trHeight w:val="23"/>
        </w:trPr>
        <w:tc>
          <w:tcPr>
            <w:tcW w:w="1840" w:type="dxa"/>
            <w:vAlign w:val="bottom"/>
            <w:vMerge w:val="restart"/>
          </w:tcPr>
          <w:p>
            <w:pPr>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4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27,650</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5,903</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21,746</w:t>
            </w:r>
          </w:p>
        </w:tc>
        <w:tc>
          <w:tcPr>
            <w:tcW w:w="1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28,732</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9,058</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19,674</w:t>
            </w:r>
          </w:p>
        </w:tc>
        <w:tc>
          <w:tcPr>
            <w:tcW w:w="0" w:type="dxa"/>
            <w:vAlign w:val="bottom"/>
          </w:tcPr>
          <w:p>
            <w:pPr>
              <w:spacing w:after="0"/>
              <w:rPr>
                <w:sz w:val="1"/>
                <w:szCs w:val="1"/>
                <w:color w:val="auto"/>
              </w:rPr>
            </w:pPr>
          </w:p>
        </w:tc>
      </w:tr>
      <w:tr>
        <w:trPr>
          <w:trHeight w:val="293"/>
        </w:trPr>
        <w:tc>
          <w:tcPr>
            <w:tcW w:w="18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4,865</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(751)</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5,616</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4,152</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4,177</w:t>
            </w:r>
          </w:p>
        </w:tc>
        <w:tc>
          <w:tcPr>
            <w:tcW w:w="0" w:type="dxa"/>
            <w:vAlign w:val="bottom"/>
          </w:tcPr>
          <w:p>
            <w:pPr>
              <w:spacing w:after="0"/>
              <w:rPr>
                <w:sz w:val="1"/>
                <w:szCs w:val="1"/>
                <w:color w:val="auto"/>
              </w:rPr>
            </w:pPr>
          </w:p>
        </w:tc>
      </w:tr>
      <w:tr>
        <w:trPr>
          <w:trHeight w:val="21"/>
        </w:trPr>
        <w:tc>
          <w:tcPr>
            <w:tcW w:w="18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r>
              <w:rPr>
                <w:rFonts w:ascii="Arial" w:cs="Arial" w:eastAsia="Arial" w:hAnsi="Arial"/>
                <w:sz w:val="18"/>
                <w:szCs w:val="18"/>
                <w:color w:val="auto"/>
              </w:rPr>
              <w:t>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17.6 %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(12.7)%</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25.8 %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14.5 %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(0.3)%</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21.2 %</w:t>
            </w: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Year Ended March 31,</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8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2026</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2025</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1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EBS, excluding</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Arial" w:cs="Arial" w:eastAsia="Arial" w:hAnsi="Arial"/>
                <w:sz w:val="18"/>
                <w:szCs w:val="18"/>
                <w:color w:val="auto"/>
                <w:w w:val="98"/>
              </w:rPr>
              <w:t>EBS, excluding</w:t>
            </w: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color w:val="auto"/>
              </w:rPr>
              <w:t>Greco</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EBS</w:t>
            </w:r>
          </w:p>
        </w:tc>
        <w:tc>
          <w:tcPr>
            <w:tcW w:w="1640" w:type="dxa"/>
            <w:vAlign w:val="bottom"/>
            <w:gridSpan w:val="2"/>
          </w:tcPr>
          <w:p>
            <w:pPr>
              <w:ind w:left="20"/>
              <w:spacing w:after="0"/>
              <w:rPr>
                <w:sz w:val="20"/>
                <w:szCs w:val="20"/>
                <w:color w:val="auto"/>
              </w:rPr>
            </w:pPr>
            <w:r>
              <w:rPr>
                <w:rFonts w:ascii="Arial" w:cs="Arial" w:eastAsia="Arial" w:hAnsi="Arial"/>
                <w:sz w:val="18"/>
                <w:szCs w:val="18"/>
                <w:color w:val="auto"/>
              </w:rPr>
              <w:t>Greco Consolidated</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Greco</w:t>
            </w:r>
          </w:p>
        </w:tc>
        <w:tc>
          <w:tcPr>
            <w:tcW w:w="0" w:type="dxa"/>
            <w:vAlign w:val="bottom"/>
          </w:tcPr>
          <w:p>
            <w:pPr>
              <w:spacing w:after="0"/>
              <w:rPr>
                <w:sz w:val="1"/>
                <w:szCs w:val="1"/>
                <w:color w:val="auto"/>
              </w:rPr>
            </w:pPr>
          </w:p>
        </w:tc>
      </w:tr>
      <w:tr>
        <w:trPr>
          <w:trHeight w:val="23"/>
        </w:trPr>
        <w:tc>
          <w:tcPr>
            <w:tcW w:w="1840" w:type="dxa"/>
            <w:vAlign w:val="bottom"/>
            <w:vMerge w:val="restart"/>
          </w:tcPr>
          <w:p>
            <w:pPr>
              <w:spacing w:after="0"/>
              <w:rPr>
                <w:sz w:val="20"/>
                <w:szCs w:val="20"/>
                <w:color w:val="auto"/>
              </w:rPr>
            </w:pPr>
            <w:r>
              <w:rPr>
                <w:rFonts w:ascii="Arial" w:cs="Arial" w:eastAsia="Arial" w:hAnsi="Arial"/>
                <w:sz w:val="18"/>
                <w:szCs w:val="18"/>
                <w:color w:val="auto"/>
              </w:rPr>
              <w:t>Revenues, net</w:t>
            </w: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184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119,911</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33,450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86,462</w:t>
            </w:r>
          </w:p>
        </w:tc>
        <w:tc>
          <w:tcPr>
            <w:tcW w:w="1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121,119</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39,529</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50"/>
              <w:spacing w:after="0"/>
              <w:rPr>
                <w:sz w:val="20"/>
                <w:szCs w:val="20"/>
                <w:color w:val="auto"/>
              </w:rPr>
            </w:pPr>
            <w:r>
              <w:rPr>
                <w:rFonts w:ascii="Arial" w:cs="Arial" w:eastAsia="Arial" w:hAnsi="Arial"/>
                <w:sz w:val="18"/>
                <w:szCs w:val="18"/>
                <w:color w:val="auto"/>
              </w:rPr>
              <w:t>81,590</w:t>
            </w:r>
          </w:p>
        </w:tc>
        <w:tc>
          <w:tcPr>
            <w:tcW w:w="0" w:type="dxa"/>
            <w:vAlign w:val="bottom"/>
          </w:tcPr>
          <w:p>
            <w:pPr>
              <w:spacing w:after="0"/>
              <w:rPr>
                <w:sz w:val="1"/>
                <w:szCs w:val="1"/>
                <w:color w:val="auto"/>
              </w:rPr>
            </w:pPr>
          </w:p>
        </w:tc>
      </w:tr>
      <w:tr>
        <w:trPr>
          <w:trHeight w:val="293"/>
        </w:trPr>
        <w:tc>
          <w:tcPr>
            <w:tcW w:w="1840" w:type="dxa"/>
            <w:vAlign w:val="bottom"/>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18,412</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18,819</w:t>
            </w:r>
          </w:p>
        </w:tc>
        <w:tc>
          <w:tcPr>
            <w:tcW w:w="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21,020</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3,950</w:t>
            </w: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17,070</w:t>
            </w:r>
          </w:p>
        </w:tc>
        <w:tc>
          <w:tcPr>
            <w:tcW w:w="0" w:type="dxa"/>
            <w:vAlign w:val="bottom"/>
          </w:tcPr>
          <w:p>
            <w:pPr>
              <w:spacing w:after="0"/>
              <w:rPr>
                <w:sz w:val="1"/>
                <w:szCs w:val="1"/>
                <w:color w:val="auto"/>
              </w:rPr>
            </w:pPr>
          </w:p>
        </w:tc>
      </w:tr>
      <w:tr>
        <w:trPr>
          <w:trHeight w:val="21"/>
        </w:trPr>
        <w:tc>
          <w:tcPr>
            <w:tcW w:w="184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18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r>
              <w:rPr>
                <w:rFonts w:ascii="Arial" w:cs="Arial" w:eastAsia="Arial" w:hAnsi="Arial"/>
                <w:sz w:val="18"/>
                <w:szCs w:val="18"/>
                <w:color w:val="auto"/>
              </w:rPr>
              <w:t>Margin</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15.4 %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(1.2)%</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21.8 %</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17.4 %</w:t>
            </w:r>
          </w:p>
        </w:tc>
        <w:tc>
          <w:tcPr>
            <w:tcW w:w="3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i w:val="1"/>
                <w:iCs w:val="1"/>
                <w:color w:val="auto"/>
              </w:rPr>
              <w:t>10.0 %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i w:val="1"/>
                <w:iCs w:val="1"/>
                <w:color w:val="auto"/>
              </w:rPr>
              <w:t>20.9 %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20"/>
          </w:cols>
          <w:pgMar w:left="340" w:top="1440" w:right="339" w:bottom="1440" w:gutter="0" w:footer="0" w:header="0"/>
        </w:sectPr>
      </w:pPr>
    </w:p>
    <w:bookmarkStart w:id="26" w:name="page27"/>
    <w:bookmarkEnd w:id="26"/>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CSW INDUSTRIALS, INC.</w:t>
      </w:r>
    </w:p>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Net Debt to Adjusted EBITDA Ratio per Revolving Credit Facility ("RCF")</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9100" w:type="dxa"/>
            <w:vAlign w:val="bottom"/>
          </w:tcPr>
          <w:p>
            <w:pPr>
              <w:spacing w:after="0"/>
              <w:rPr>
                <w:sz w:val="20"/>
                <w:szCs w:val="20"/>
                <w:color w:val="auto"/>
              </w:rPr>
            </w:pPr>
            <w:r>
              <w:rPr>
                <w:rFonts w:ascii="Arial" w:cs="Arial" w:eastAsia="Arial" w:hAnsi="Arial"/>
                <w:sz w:val="16"/>
                <w:szCs w:val="16"/>
                <w:color w:val="auto"/>
              </w:rPr>
              <w:t>(in thousands, except net debt to adjusted EBITDA ratio)</w:t>
            </w:r>
          </w:p>
        </w:tc>
        <w:tc>
          <w:tcPr>
            <w:tcW w:w="26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March 31, 2026</w:t>
            </w:r>
          </w:p>
        </w:tc>
        <w:tc>
          <w:tcPr>
            <w:tcW w:w="0" w:type="dxa"/>
            <w:vAlign w:val="bottom"/>
          </w:tcPr>
          <w:p>
            <w:pPr>
              <w:spacing w:after="0"/>
              <w:rPr>
                <w:sz w:val="1"/>
                <w:szCs w:val="1"/>
                <w:color w:val="auto"/>
              </w:rPr>
            </w:pPr>
          </w:p>
        </w:tc>
      </w:tr>
      <w:tr>
        <w:trPr>
          <w:trHeight w:val="247"/>
        </w:trPr>
        <w:tc>
          <w:tcPr>
            <w:tcW w:w="9100" w:type="dxa"/>
            <w:vAlign w:val="bottom"/>
          </w:tcPr>
          <w:p>
            <w:pPr>
              <w:spacing w:after="0"/>
              <w:rPr>
                <w:sz w:val="20"/>
                <w:szCs w:val="20"/>
                <w:color w:val="auto"/>
              </w:rPr>
            </w:pPr>
            <w:r>
              <w:rPr>
                <w:rFonts w:ascii="Arial" w:cs="Arial" w:eastAsia="Arial" w:hAnsi="Arial"/>
                <w:sz w:val="18"/>
                <w:szCs w:val="18"/>
                <w:color w:val="auto"/>
              </w:rPr>
              <w:t>GAAP debt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871,500</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Minus: GAAP cash</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(33,799)</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Add: Restricted cash per RCF</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4,628</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Add: Capital lease liabilities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3"/>
        </w:trPr>
        <w:tc>
          <w:tcPr>
            <w:tcW w:w="9100" w:type="dxa"/>
            <w:vAlign w:val="bottom"/>
            <w:vMerge w:val="restart"/>
          </w:tcPr>
          <w:p>
            <w:pPr>
              <w:ind w:left="340"/>
              <w:spacing w:after="0"/>
              <w:rPr>
                <w:sz w:val="20"/>
                <w:szCs w:val="20"/>
                <w:color w:val="auto"/>
              </w:rPr>
            </w:pPr>
            <w:r>
              <w:rPr>
                <w:rFonts w:ascii="Arial" w:cs="Arial" w:eastAsia="Arial" w:hAnsi="Arial"/>
                <w:sz w:val="18"/>
                <w:szCs w:val="18"/>
                <w:color w:val="auto"/>
              </w:rPr>
              <w:t>Net debt per RCF</w:t>
            </w: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9100" w:type="dxa"/>
            <w:vAlign w:val="bottom"/>
            <w:vMerge w:val="continue"/>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842,659</w:t>
            </w:r>
          </w:p>
        </w:tc>
        <w:tc>
          <w:tcPr>
            <w:tcW w:w="0" w:type="dxa"/>
            <w:vAlign w:val="bottom"/>
          </w:tcPr>
          <w:p>
            <w:pPr>
              <w:spacing w:after="0"/>
              <w:rPr>
                <w:sz w:val="1"/>
                <w:szCs w:val="1"/>
                <w:color w:val="auto"/>
              </w:rPr>
            </w:pPr>
          </w:p>
        </w:tc>
      </w:tr>
      <w:tr>
        <w:trPr>
          <w:trHeight w:val="473"/>
        </w:trPr>
        <w:tc>
          <w:tcPr>
            <w:tcW w:w="9100" w:type="dxa"/>
            <w:vAlign w:val="bottom"/>
          </w:tcPr>
          <w:p>
            <w:pPr>
              <w:spacing w:after="0"/>
              <w:rPr>
                <w:sz w:val="20"/>
                <w:szCs w:val="20"/>
                <w:color w:val="auto"/>
              </w:rPr>
            </w:pPr>
            <w:r>
              <w:rPr>
                <w:rFonts w:ascii="Arial" w:cs="Arial" w:eastAsia="Arial" w:hAnsi="Arial"/>
                <w:sz w:val="18"/>
                <w:szCs w:val="18"/>
                <w:color w:val="auto"/>
              </w:rPr>
              <w:t>GAAP Net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112,846</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22,245</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32,706</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67,071</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Greco impairment expense</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15,627</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Proforma EBITDA for acquisitions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44,675</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Stock compensation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14,930</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Acquisition transaction and integration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12,675</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Prior year ESOP contribution</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Greco Canada Exit related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Non-cash tax indemnification expense</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Nonrecurring restructuring expenses</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70"/>
        </w:trPr>
        <w:tc>
          <w:tcPr>
            <w:tcW w:w="9100" w:type="dxa"/>
            <w:vAlign w:val="bottom"/>
          </w:tcPr>
          <w:p>
            <w:pPr>
              <w:spacing w:after="0"/>
              <w:rPr>
                <w:sz w:val="20"/>
                <w:szCs w:val="20"/>
                <w:color w:val="auto"/>
              </w:rPr>
            </w:pPr>
            <w:r>
              <w:rPr>
                <w:rFonts w:ascii="Arial" w:cs="Arial" w:eastAsia="Arial" w:hAnsi="Arial"/>
                <w:sz w:val="18"/>
                <w:szCs w:val="18"/>
                <w:color w:val="auto"/>
              </w:rPr>
              <w:t>Other misc. adjustments per RCF</w:t>
            </w:r>
          </w:p>
        </w:tc>
        <w:tc>
          <w:tcPr>
            <w:tcW w:w="26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
        </w:trPr>
        <w:tc>
          <w:tcPr>
            <w:tcW w:w="9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00" w:type="dxa"/>
            <w:vAlign w:val="bottom"/>
          </w:tcPr>
          <w:p>
            <w:pPr>
              <w:ind w:left="340"/>
              <w:spacing w:after="0"/>
              <w:rPr>
                <w:sz w:val="20"/>
                <w:szCs w:val="20"/>
                <w:color w:val="auto"/>
              </w:rPr>
            </w:pPr>
            <w:r>
              <w:rPr>
                <w:rFonts w:ascii="Arial" w:cs="Arial" w:eastAsia="Arial" w:hAnsi="Arial"/>
                <w:sz w:val="18"/>
                <w:szCs w:val="18"/>
                <w:color w:val="auto"/>
              </w:rPr>
              <w:t>Adjusted EBITDA per RCF</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330,863</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9100" w:type="dxa"/>
            <w:vAlign w:val="bottom"/>
          </w:tcPr>
          <w:p>
            <w:pPr>
              <w:spacing w:after="0"/>
              <w:rPr>
                <w:sz w:val="20"/>
                <w:szCs w:val="20"/>
                <w:color w:val="auto"/>
              </w:rPr>
            </w:pPr>
            <w:r>
              <w:rPr>
                <w:rFonts w:ascii="Arial" w:cs="Arial" w:eastAsia="Arial" w:hAnsi="Arial"/>
                <w:sz w:val="18"/>
                <w:szCs w:val="18"/>
                <w:color w:val="auto"/>
              </w:rPr>
              <w:t>Net debt to adjusted EBITDA ratio per RCF</w:t>
            </w:r>
          </w:p>
        </w:tc>
        <w:tc>
          <w:tcPr>
            <w:tcW w:w="2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2.55x</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0600"/>
        <w:spacing w:after="0"/>
        <w:rPr>
          <w:sz w:val="20"/>
          <w:szCs w:val="20"/>
          <w:color w:val="auto"/>
        </w:rPr>
      </w:pPr>
      <w:r>
        <w:rPr>
          <w:rFonts w:ascii="Arial" w:cs="Arial" w:eastAsia="Arial" w:hAnsi="Arial"/>
          <w:sz w:val="20"/>
          <w:szCs w:val="20"/>
          <w:color w:val="auto"/>
        </w:rPr>
        <w:t>24</w:t>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2026-05-26T05:50:06Z</dcterms:created>
  <dcterms:modified xsi:type="dcterms:W3CDTF">2026-05-26T05:50:06Z</dcterms:modified>
</cp:coreProperties>
</file>