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4481.xml.htm"/>
      <w:bookmarkStart w:id="1" w:name="kswkform4_17803444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 Darron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9"/>
        <w:gridCol w:w="925"/>
        <w:gridCol w:w="794"/>
        <w:gridCol w:w="614"/>
        <w:gridCol w:w="341"/>
        <w:gridCol w:w="1111"/>
        <w:gridCol w:w="420"/>
        <w:gridCol w:w="588"/>
        <w:gridCol w:w="1203"/>
        <w:gridCol w:w="967"/>
        <w:gridCol w:w="12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660.7206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494.2794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660.7206</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660.7206</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JDA Enterprises,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transfer by the reporting person of shares of common stock to JDA Enterprises, LP, a family limited partnership, for estate planning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may be deemed to beneficially own securities held by JDA Enterprises, LP through JDA Capital, LLC, the general partner of JDA Enterprises, LP. JDA Capital, LLC is owned 50% by the reporting person and 50% by Jill D. Ash, the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Darron K. Ash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706"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3495</Characters>
  <CharactersWithSpaces>4080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