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06715.xml.htm"/>
      <w:bookmarkStart w:id="1" w:name="kswkform4_17882067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GAMBRELL MICHAEL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5400 LYNDON B. JOHNSON FWY, SUITE 1300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CSW INDUSTRIALS, INC.</w:t>
              </w:r>
            </w:hyperlink>
            <w:r>
              <w:rPr/>
              <w:t xml:space="preserve"> [ </w:t>
            </w:r>
            <w:r>
              <w:rPr>
                <w:rFonts w:ascii="Times;serif" w:hAnsi="Times;serif"/>
                <w:color w:val="0000FF"/>
                <w:sz w:val="24"/>
                <w:shd w:fill="FFFFFF" w:val="clear"/>
              </w:rPr>
              <w:t>CSW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409</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22,522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restricted common stock granted to the reporting person pursuant to the issuer's Equity and Incentive Compensation Plan. The shares cliff vest on the earlier of (i) the first anniversary of the grant or (ii) the date of the issuer's 2027 annual meeting of shareholders.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Luke E. Alverson, Attorney-in-Fact for Michael R. Gambrell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7031" TargetMode="External"/><Relationship Id="rId5" Type="http://schemas.openxmlformats.org/officeDocument/2006/relationships/hyperlink" Target="http://www.sec.gov/cgi-bin/browse-edgar?action=getcompany&amp;CIK=0001624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3336</Characters>
  <CharactersWithSpaces>3886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